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493AC">
      <w:pPr>
        <w:spacing w:before="0" w:beforeLines="0" w:after="0" w:afterLines="0" w:line="240" w:lineRule="auto"/>
        <w:ind w:left="0" w:leftChars="0" w:right="0" w:rightChars="0" w:firstLine="0" w:firstLineChars="0"/>
        <w:jc w:val="center"/>
        <w:rPr>
          <w:rFonts w:hint="default" w:ascii="宋体" w:hAnsi="宋体" w:eastAsia="宋体" w:cs="Times New Roman"/>
          <w:sz w:val="21"/>
          <w:szCs w:val="22"/>
          <w:lang w:val="en-US" w:eastAsia="zh-CN"/>
        </w:rPr>
      </w:pPr>
      <w:r>
        <w:rPr>
          <w:rFonts w:hint="eastAsia" w:ascii="方正小标宋_GBK" w:hAnsi="方正小标宋_GBK" w:eastAsia="方正小标宋_GBK" w:cs="方正小标宋_GBK"/>
          <w:lang w:val="en-US" w:eastAsia="zh-CN"/>
        </w:rPr>
        <w:t xml:space="preserve">   </w:t>
      </w:r>
    </w:p>
    <w:p w14:paraId="703991C1">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rPr>
      </w:pPr>
      <w:r>
        <w:rPr>
          <w:rFonts w:hint="eastAsia" w:ascii="黑体" w:hAnsi="黑体" w:eastAsia="黑体" w:cs="黑体"/>
          <w:sz w:val="24"/>
          <w:szCs w:val="24"/>
          <w:lang w:val="en-US" w:eastAsia="zh-CN"/>
        </w:rPr>
        <w:t>一、</w:t>
      </w:r>
      <w:r>
        <w:rPr>
          <w:rFonts w:hint="eastAsia" w:ascii="黑体" w:hAnsi="黑体" w:eastAsia="黑体" w:cs="黑体"/>
          <w:sz w:val="24"/>
          <w:szCs w:val="24"/>
        </w:rPr>
        <w:t>项目概述</w:t>
      </w:r>
    </w:p>
    <w:p w14:paraId="788B3F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一）</w:t>
      </w:r>
      <w:r>
        <w:rPr>
          <w:rFonts w:hint="eastAsia" w:ascii="楷体_GB2312" w:hAnsi="楷体_GB2312" w:eastAsia="楷体_GB2312" w:cs="楷体_GB2312"/>
          <w:sz w:val="24"/>
          <w:szCs w:val="24"/>
        </w:rPr>
        <w:t>项目背景</w:t>
      </w:r>
    </w:p>
    <w:p w14:paraId="222D49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梧州市工人医院高架直升机场（以下简称“本机场”）为B类直升机场。本机场作为医院航空医疗救援体系的重要基础设施，承担着紧急医疗转运、应急救援保障等关键职能。</w:t>
      </w:r>
    </w:p>
    <w:p w14:paraId="0D04B5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根据民航监管部门检查提出的整改要求，本机场在通用机场布局规划、国土空间规划、场地参数合规性、净空管理、安全运营管理制度、人员配置、应急预案、备案信息等方面存在若干问题亟待整改。</w:t>
      </w:r>
    </w:p>
    <w:p w14:paraId="3CBD03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为全面规范机场运行管理，切实落实各项整改要求，</w:t>
      </w:r>
      <w:r>
        <w:rPr>
          <w:rFonts w:hint="eastAsia"/>
          <w:sz w:val="24"/>
          <w:szCs w:val="24"/>
          <w:lang w:val="en-US" w:eastAsia="zh-CN"/>
        </w:rPr>
        <w:t>并</w:t>
      </w:r>
      <w:r>
        <w:rPr>
          <w:rFonts w:hint="eastAsia"/>
          <w:sz w:val="24"/>
          <w:szCs w:val="24"/>
        </w:rPr>
        <w:t>确保机场</w:t>
      </w:r>
      <w:r>
        <w:rPr>
          <w:rFonts w:hint="eastAsia"/>
          <w:sz w:val="24"/>
          <w:szCs w:val="24"/>
          <w:lang w:val="en-US" w:eastAsia="zh-CN"/>
        </w:rPr>
        <w:t>能够合法</w:t>
      </w:r>
      <w:r>
        <w:rPr>
          <w:rFonts w:hint="eastAsia"/>
          <w:sz w:val="24"/>
          <w:szCs w:val="24"/>
        </w:rPr>
        <w:t>合规</w:t>
      </w:r>
      <w:r>
        <w:rPr>
          <w:rFonts w:hint="eastAsia"/>
          <w:sz w:val="24"/>
          <w:szCs w:val="24"/>
          <w:lang w:val="en-US" w:eastAsia="zh-CN"/>
        </w:rPr>
        <w:t>地常态化运行</w:t>
      </w:r>
      <w:r>
        <w:rPr>
          <w:rFonts w:hint="eastAsia"/>
          <w:sz w:val="24"/>
          <w:szCs w:val="24"/>
        </w:rPr>
        <w:t>，现面向社会公开采购具备B类直升机场运维管理资质的专业单位，对本机场实施全方位、专业化的运维管理服务。</w:t>
      </w:r>
    </w:p>
    <w:p w14:paraId="5E5CE1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二）</w:t>
      </w:r>
      <w:r>
        <w:rPr>
          <w:rFonts w:hint="eastAsia" w:ascii="楷体_GB2312" w:hAnsi="楷体_GB2312" w:eastAsia="楷体_GB2312" w:cs="楷体_GB2312"/>
          <w:sz w:val="24"/>
          <w:szCs w:val="24"/>
          <w:lang w:eastAsia="zh-CN"/>
        </w:rPr>
        <w:t>项目名称</w:t>
      </w:r>
    </w:p>
    <w:p w14:paraId="36D0A4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梧州市工人医院高架直升机场运维管理服务项目</w:t>
      </w:r>
    </w:p>
    <w:p w14:paraId="00F62D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三）</w:t>
      </w:r>
      <w:r>
        <w:rPr>
          <w:rFonts w:hint="eastAsia" w:ascii="楷体_GB2312" w:hAnsi="楷体_GB2312" w:eastAsia="楷体_GB2312" w:cs="楷体_GB2312"/>
          <w:sz w:val="24"/>
          <w:szCs w:val="24"/>
          <w:lang w:eastAsia="zh-CN"/>
        </w:rPr>
        <w:t>采购单位</w:t>
      </w:r>
    </w:p>
    <w:p w14:paraId="047619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梧州市工人医院</w:t>
      </w:r>
    </w:p>
    <w:p w14:paraId="3D9B21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四</w:t>
      </w:r>
      <w:r>
        <w:rPr>
          <w:rFonts w:hint="eastAsia" w:ascii="楷体_GB2312" w:hAnsi="楷体_GB2312" w:eastAsia="楷体_GB2312" w:cs="楷体_GB2312"/>
          <w:sz w:val="24"/>
          <w:szCs w:val="24"/>
          <w:lang w:eastAsia="zh-CN"/>
        </w:rPr>
        <w:t>）服务地点</w:t>
      </w:r>
    </w:p>
    <w:p w14:paraId="4D3C154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梧州市工人医院高架直升机场（梧州市工人医院门诊住院综合楼顶层）</w:t>
      </w:r>
    </w:p>
    <w:p w14:paraId="330E59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五</w:t>
      </w:r>
      <w:r>
        <w:rPr>
          <w:rFonts w:hint="eastAsia" w:ascii="楷体_GB2312" w:hAnsi="楷体_GB2312" w:eastAsia="楷体_GB2312" w:cs="楷体_GB2312"/>
          <w:sz w:val="24"/>
          <w:szCs w:val="24"/>
          <w:lang w:eastAsia="zh-CN"/>
        </w:rPr>
        <w:t>）服务期限</w:t>
      </w:r>
    </w:p>
    <w:p w14:paraId="1E03D7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本项目服务期限为</w:t>
      </w:r>
      <w:r>
        <w:rPr>
          <w:rFonts w:hint="eastAsia"/>
          <w:sz w:val="24"/>
          <w:szCs w:val="24"/>
          <w:lang w:val="en-US" w:eastAsia="zh-CN"/>
        </w:rPr>
        <w:t>2</w:t>
      </w:r>
      <w:r>
        <w:rPr>
          <w:rFonts w:hint="eastAsia"/>
          <w:sz w:val="24"/>
          <w:szCs w:val="24"/>
        </w:rPr>
        <w:t>年（自合同签订之日起计算，具体以合同约定为准）。合同期满前三个月，经采购单位考核合格，可续签合同。</w:t>
      </w:r>
    </w:p>
    <w:p w14:paraId="0B7007CB">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二、服务依据</w:t>
      </w:r>
    </w:p>
    <w:p w14:paraId="016A05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运维管理单位须严格遵循以下法律法规、行业标准及规范性文件开展服务：</w:t>
      </w:r>
    </w:p>
    <w:p w14:paraId="3FFCF2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1.《中华人民共和国民用航空法》</w:t>
      </w:r>
    </w:p>
    <w:p w14:paraId="14B3C1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2.《民用机场管理条例》（国务院令第553号）</w:t>
      </w:r>
    </w:p>
    <w:p w14:paraId="71C41C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3.《通用机场管理规定》（交通运输部令2024年第11号，自2025年4月1日起施行）</w:t>
      </w:r>
    </w:p>
    <w:p w14:paraId="0B6FCBB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4.《民用直升机场飞行场地技术标准》（MH/T5013-2023，2023年2月15日发布）</w:t>
      </w:r>
    </w:p>
    <w:p w14:paraId="7C28FB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5.《民用直升机场运行最低标准制定与实施准则》（民航规〔2023〕28号，AC-91-FS-38）</w:t>
      </w:r>
    </w:p>
    <w:p w14:paraId="4E619E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6.《民用机场净空保护区域内建设项目净空审核管理办法》</w:t>
      </w:r>
    </w:p>
    <w:p w14:paraId="4BDBACC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7.《运输机场净空保护管理办法》</w:t>
      </w:r>
    </w:p>
    <w:p w14:paraId="72D71E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8.《民用机场净空障碍物遮蔽原则应用指南》</w:t>
      </w:r>
    </w:p>
    <w:p w14:paraId="03BEAD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9.《通用航空机场设备设施》（GB/T17836-1999）</w:t>
      </w:r>
    </w:p>
    <w:p w14:paraId="62E82C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10.国际民用航空组织（ICAO）《附件14第Ⅱ卷——直升机场》相关标准</w:t>
      </w:r>
    </w:p>
    <w:p w14:paraId="7FA0B5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注：上述标准如有更新</w:t>
      </w:r>
      <w:r>
        <w:rPr>
          <w:rFonts w:hint="eastAsia"/>
          <w:sz w:val="24"/>
          <w:szCs w:val="24"/>
          <w:lang w:eastAsia="zh-CN"/>
        </w:rPr>
        <w:t>、</w:t>
      </w:r>
      <w:r>
        <w:rPr>
          <w:rFonts w:hint="eastAsia"/>
          <w:sz w:val="24"/>
          <w:szCs w:val="24"/>
        </w:rPr>
        <w:t>废止</w:t>
      </w:r>
      <w:r>
        <w:rPr>
          <w:rFonts w:hint="eastAsia"/>
          <w:sz w:val="24"/>
          <w:szCs w:val="24"/>
          <w:lang w:val="en-US" w:eastAsia="zh-CN"/>
        </w:rPr>
        <w:t>或有误</w:t>
      </w:r>
      <w:r>
        <w:rPr>
          <w:rFonts w:hint="eastAsia"/>
          <w:sz w:val="24"/>
          <w:szCs w:val="24"/>
        </w:rPr>
        <w:t>，以最新有</w:t>
      </w:r>
      <w:bookmarkStart w:id="26" w:name="_GoBack"/>
      <w:bookmarkEnd w:id="26"/>
      <w:r>
        <w:rPr>
          <w:rFonts w:hint="eastAsia"/>
          <w:sz w:val="24"/>
          <w:szCs w:val="24"/>
        </w:rPr>
        <w:t>效版本为准。</w:t>
      </w:r>
    </w:p>
    <w:p w14:paraId="785C60A2">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三、服务范围及内容</w:t>
      </w:r>
    </w:p>
    <w:p w14:paraId="3FCDBA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运维管理单位须全面承接本机场的安全运营管理职责，依据《通用机场管理规定》第五章关于安全和运营管理的要求，提供但不限于以下服务内容：</w:t>
      </w:r>
    </w:p>
    <w:p w14:paraId="04F62E72">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一）</w:t>
      </w:r>
      <w:r>
        <w:rPr>
          <w:rFonts w:hint="eastAsia" w:ascii="楷体_GB2312" w:hAnsi="楷体_GB2312" w:eastAsia="楷体_GB2312" w:cs="楷体_GB2312"/>
          <w:sz w:val="24"/>
          <w:szCs w:val="24"/>
          <w:lang w:eastAsia="zh-CN"/>
        </w:rPr>
        <w:t>安全管理体系建设</w:t>
      </w:r>
    </w:p>
    <w:p w14:paraId="512FB857">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安全生产责任制建立与落实</w:t>
      </w:r>
    </w:p>
    <w:p w14:paraId="1234D6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rPr>
        <w:t>专职安全管理人员配置：依据《通用机场管理规定》要求，落实安全生产管理责任，明确专职安全生产管理人员，专职负责机场日常安全管理工作，完善岗位说明书及工作职责文件。</w:t>
      </w:r>
    </w:p>
    <w:p w14:paraId="58800E5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安全生产责任体系：协助医院逐级签订全员安全生产责任书，建立安全生产责任台账，明确各级人员安全职责，层层压实安全生产主体责任。</w:t>
      </w:r>
    </w:p>
    <w:p w14:paraId="0BE915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安全管理制度完善：在现有制度基础上，系统完善机场安全管理、运行管理、设备管理、人员管理、信息管理等全套制度体系，补齐配齐安全运营管理人员，明确各岗位工作职责。</w:t>
      </w:r>
    </w:p>
    <w:p w14:paraId="146D325F">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从业人员培训管理</w:t>
      </w:r>
    </w:p>
    <w:p w14:paraId="02206E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培训计划制定：结合机场运营实际，制定年度从业人员专项培训计划，培训内容须涵盖机场运行规范、净空安全管控、安全生产管理、突发事件应急处置、民航行业规章等专项内容。</w:t>
      </w:r>
    </w:p>
    <w:p w14:paraId="1F2C4C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培训组织实施：常态化开展上述专项培训及考核工作，严格落实从业人员持证上岗、定期复训制度。</w:t>
      </w:r>
    </w:p>
    <w:p w14:paraId="30A807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培训档案管理：为每位从业人员建立个人培训档案，完整记录培训内容、考核成绩、复训记录等，确保机场内运行安全关键岗位人员具有相应的业务知识和工作能力。</w:t>
      </w:r>
    </w:p>
    <w:p w14:paraId="64C2831B">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二</w:t>
      </w:r>
      <w:r>
        <w:rPr>
          <w:rFonts w:hint="eastAsia" w:ascii="楷体_GB2312" w:hAnsi="楷体_GB2312" w:eastAsia="楷体_GB2312" w:cs="楷体_GB2312"/>
          <w:sz w:val="24"/>
          <w:szCs w:val="24"/>
          <w:lang w:eastAsia="zh-CN"/>
        </w:rPr>
        <w:t>）突发事件应急处置</w:t>
      </w:r>
    </w:p>
    <w:p w14:paraId="0D7AA321">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应急预案编制</w:t>
      </w:r>
    </w:p>
    <w:p w14:paraId="6575BB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民用航空器事故应急救援预案：严格依据民航行业规范，编制完善民用航空器事故专项应急救援预案。</w:t>
      </w:r>
    </w:p>
    <w:p w14:paraId="66F32E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通用航空事故专项应急救援预案：编制通用航空事故专项应急救援预案，完成预案评审、修订及报备工作。</w:t>
      </w:r>
    </w:p>
    <w:p w14:paraId="77B2F1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机场突发事件专项应急预案：编制机场突发事件专项应急救援预案，涵盖火灾、恐怖威胁、自然灾害、医疗急救等各类突发事件场景。</w:t>
      </w:r>
    </w:p>
    <w:p w14:paraId="74F2A5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预案动态管理：建立突发事件应急救援预案动态管理制度，根据法规更新和机场运行实际变化，及时修订完善预案内容。</w:t>
      </w:r>
    </w:p>
    <w:p w14:paraId="3F11330F">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应急物资与演练</w:t>
      </w:r>
    </w:p>
    <w:p w14:paraId="671E6F9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应急物资配备：配齐补足各类应急救援物资、设备，包括但不限于消防器材（应符合直升机场消防保障等级要求）、医疗急救设备、通信设备、照明设备等。</w:t>
      </w:r>
    </w:p>
    <w:p w14:paraId="0EBA70E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应急演练组织：定期组织开展实战化应急演练，包括综合演练和专项演练，确保每年至少组织一次综合性应急演练。</w:t>
      </w:r>
    </w:p>
    <w:p w14:paraId="3BAE28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演练评估与改进：做好演练记录、影像留存及事后复盘总结，形成演练评估报告，针对发现的问题持续改进完善应急处置体系。</w:t>
      </w:r>
    </w:p>
    <w:p w14:paraId="359A40B1">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三</w:t>
      </w:r>
      <w:r>
        <w:rPr>
          <w:rFonts w:hint="eastAsia" w:ascii="楷体_GB2312" w:hAnsi="楷体_GB2312" w:eastAsia="楷体_GB2312" w:cs="楷体_GB2312"/>
          <w:sz w:val="24"/>
          <w:szCs w:val="24"/>
          <w:lang w:eastAsia="zh-CN"/>
        </w:rPr>
        <w:t>）净空管理</w:t>
      </w:r>
    </w:p>
    <w:p w14:paraId="2094303E">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净空巡查制度建立与执行</w:t>
      </w:r>
    </w:p>
    <w:p w14:paraId="1F789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制度编制：编制并印发《机场净空巡查管理制度》，明确净空巡查范围、巡查频次、责任人员、巡查记录规范及隐患上报、处置闭环流程。</w:t>
      </w:r>
    </w:p>
    <w:p w14:paraId="663B0F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日常巡查：严格落实日常净空巡查工作（净空保护区巡查每周应不少于一次），建立巡查台账，完整记录巡查情况。</w:t>
      </w:r>
    </w:p>
    <w:p w14:paraId="3B9B533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隐患处置：建立净空安全隐患发现、报告、处置的闭环管理机制，对发现的超高障碍物、施工机械等及时协调处置。</w:t>
      </w:r>
    </w:p>
    <w:p w14:paraId="6253A856">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障碍物数据管理</w:t>
      </w:r>
    </w:p>
    <w:p w14:paraId="3E5743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全覆盖测绘核查：委托具备测绘资质的专业单位，对本场净空保护区开展全覆盖障碍物测绘核查。</w:t>
      </w:r>
    </w:p>
    <w:p w14:paraId="1B6A95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台账与图纸更新：全面更新障碍物台账、净空图纸及民航监管备案系统数据。</w:t>
      </w:r>
    </w:p>
    <w:p w14:paraId="5C527E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动态更新机制：建立季度常态化复核更新机制，长期动态更新数据，完整留存测绘报告、数据更新记录等佐证资料。</w:t>
      </w:r>
    </w:p>
    <w:p w14:paraId="3FD45698">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3.</w:t>
      </w:r>
      <w:r>
        <w:rPr>
          <w:rFonts w:hint="eastAsia"/>
          <w:sz w:val="24"/>
          <w:szCs w:val="24"/>
        </w:rPr>
        <w:t>净空图纸管理</w:t>
      </w:r>
    </w:p>
    <w:p w14:paraId="46897E5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协助医院完成机场净空保护区图纸的备案公示工作，报送属地政府、市发改委、交通局等相关主管部门备案公示，建立净空图纸专项管控台账，全面落实净空图纸常态化管控、使用机制。</w:t>
      </w:r>
    </w:p>
    <w:p w14:paraId="0FDACC70">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四</w:t>
      </w:r>
      <w:r>
        <w:rPr>
          <w:rFonts w:hint="eastAsia" w:ascii="楷体_GB2312" w:hAnsi="楷体_GB2312" w:eastAsia="楷体_GB2312" w:cs="楷体_GB2312"/>
          <w:sz w:val="24"/>
          <w:szCs w:val="24"/>
          <w:lang w:eastAsia="zh-CN"/>
        </w:rPr>
        <w:t>）备案信息管理</w:t>
      </w:r>
    </w:p>
    <w:p w14:paraId="07731825">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备案信息核查与修正</w:t>
      </w:r>
    </w:p>
    <w:p w14:paraId="73B2E6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核心数据复测：安排原设计单位、咨询单位等专业人员对机场标高、FATO起降参数、净空障碍物、场地基础参数等核心数据进行全面复测核查。</w:t>
      </w:r>
    </w:p>
    <w:p w14:paraId="55217D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备案数据修正：逐一修正民航监管信息平台（https://ga.aopa.org.cn/）备案错误数据，确保平台备案信息真实、准确、规范。</w:t>
      </w:r>
    </w:p>
    <w:p w14:paraId="426E189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场地参数合规性评估：全面评估场地运行合规性，根据《民用直升机场飞行场地技术标准》（MH/T5013-2023）要求，完善场地参数或运行限制报备工作。</w:t>
      </w:r>
    </w:p>
    <w:p w14:paraId="77A673DB">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备案信息动态管理</w:t>
      </w:r>
    </w:p>
    <w:p w14:paraId="751D98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建立备案信息定期核查、动态更新机制，留存数据核验、修改备案记录，确保备案信息与机场实际情况始终保持一致。</w:t>
      </w:r>
    </w:p>
    <w:p w14:paraId="6E9F17CA">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五</w:t>
      </w:r>
      <w:r>
        <w:rPr>
          <w:rFonts w:hint="eastAsia" w:ascii="楷体_GB2312" w:hAnsi="楷体_GB2312" w:eastAsia="楷体_GB2312" w:cs="楷体_GB2312"/>
          <w:sz w:val="24"/>
          <w:szCs w:val="24"/>
          <w:lang w:eastAsia="zh-CN"/>
        </w:rPr>
        <w:t>）场地与设施设备管理</w:t>
      </w:r>
    </w:p>
    <w:p w14:paraId="45A3B953">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起降场地管理</w:t>
      </w:r>
    </w:p>
    <w:p w14:paraId="230ADB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精准测绘取证：完成起降场地精准测绘取证，严格按照场地真实参数修正民航监管平台备案信息。</w:t>
      </w:r>
    </w:p>
    <w:p w14:paraId="4917BB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场地合规整改：全面评估场地运行合规性，根据规范要求完善场地参数或运行限制报备工作。</w:t>
      </w:r>
    </w:p>
    <w:p w14:paraId="2FFE68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FATO尺寸合规：确保FATO（最终进近和起飞区）的长、宽或直径符合《民用直升机场飞行场地技术标准》要求（不小于1.5D）。</w:t>
      </w:r>
    </w:p>
    <w:p w14:paraId="4EA91584">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目视助航设施管理</w:t>
      </w:r>
    </w:p>
    <w:p w14:paraId="735676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风向标配置：严格按照民航规范标准配置合规合格的风向标，确保：</w:t>
      </w:r>
    </w:p>
    <w:p w14:paraId="099EDB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-风向标能指示进近和起飞区上空风的情况，不受附近物体或直升机旋翼下洗流的影响；</w:t>
      </w:r>
    </w:p>
    <w:p w14:paraId="211CF09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-从飞行中的、悬停的以及在活动区的直升机上必须能清晰看到风向标；</w:t>
      </w:r>
    </w:p>
    <w:p w14:paraId="00158E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-风向标能明确指示风向，并可大致指示风速；</w:t>
      </w:r>
    </w:p>
    <w:p w14:paraId="4D22FE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-风向标颜色宜与地面背景差别明显，宜选用橙色与白色或红色与白色。</w:t>
      </w:r>
    </w:p>
    <w:p w14:paraId="18C9700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标志与标志物：按照《民用直升机场飞行场地技术标准》要求，设置机场标志和标志物。</w:t>
      </w:r>
    </w:p>
    <w:p w14:paraId="75D275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灯光设施：如有夜航需求，设置目视助航灯光设施。</w:t>
      </w:r>
    </w:p>
    <w:p w14:paraId="7ED56FAC">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3.</w:t>
      </w:r>
      <w:r>
        <w:rPr>
          <w:rFonts w:hint="eastAsia"/>
          <w:sz w:val="24"/>
          <w:szCs w:val="24"/>
        </w:rPr>
        <w:t>设施设备日常维护</w:t>
      </w:r>
    </w:p>
    <w:p w14:paraId="010503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负责机场各类设施设备的日常检查、维护和维修，确保道面完好、清洁，符合适航标准。</w:t>
      </w:r>
    </w:p>
    <w:p w14:paraId="6A311269">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六</w:t>
      </w:r>
      <w:r>
        <w:rPr>
          <w:rFonts w:hint="eastAsia" w:ascii="楷体_GB2312" w:hAnsi="楷体_GB2312" w:eastAsia="楷体_GB2312" w:cs="楷体_GB2312"/>
          <w:sz w:val="24"/>
          <w:szCs w:val="24"/>
          <w:lang w:eastAsia="zh-CN"/>
        </w:rPr>
        <w:t>）运行管控</w:t>
      </w:r>
    </w:p>
    <w:p w14:paraId="0416FEFB">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整改期间运行管控</w:t>
      </w:r>
    </w:p>
    <w:p w14:paraId="539B67B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自合同签订至全部整改完成、通过监管复查核验为止，除紧急救援、应急保障等必要任务外，全面暂停机场常规运营，严格做好运行管控及台账记录。</w:t>
      </w:r>
    </w:p>
    <w:p w14:paraId="62C99B7D">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恢复运营申请</w:t>
      </w:r>
    </w:p>
    <w:p w14:paraId="603DD9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全部整改完成并通过监管复查核验后，协助医院申请恢复正常运营。</w:t>
      </w:r>
    </w:p>
    <w:p w14:paraId="4D277E93">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3.</w:t>
      </w:r>
      <w:r>
        <w:rPr>
          <w:rFonts w:hint="eastAsia"/>
          <w:sz w:val="24"/>
          <w:szCs w:val="24"/>
        </w:rPr>
        <w:t>运行台账管理</w:t>
      </w:r>
    </w:p>
    <w:p w14:paraId="6250029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建立完善的机场运行台账，完整记录每一次起降活动、设备检查、维护保养、巡查等情况。</w:t>
      </w:r>
    </w:p>
    <w:p w14:paraId="1EF4C50D">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四、整改成果要求</w:t>
      </w:r>
    </w:p>
    <w:p w14:paraId="2071E1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运维管理单位须在合同约定的整改时限内完成以下交付成果，所有成果均须留存完整的沟通记录、申报佐证材料、影像资料等：</w:t>
      </w:r>
    </w:p>
    <w:tbl>
      <w:tblPr>
        <w:tblStyle w:val="16"/>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2144"/>
        <w:gridCol w:w="4773"/>
        <w:gridCol w:w="1227"/>
      </w:tblGrid>
      <w:tr w14:paraId="0D73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tcPr>
          <w:p w14:paraId="17A44D8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序号</w:t>
            </w:r>
          </w:p>
        </w:tc>
        <w:tc>
          <w:tcPr>
            <w:tcW w:w="0" w:type="auto"/>
          </w:tcPr>
          <w:p w14:paraId="1AAB630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交付成果</w:t>
            </w:r>
          </w:p>
        </w:tc>
        <w:tc>
          <w:tcPr>
            <w:tcW w:w="4773" w:type="dxa"/>
          </w:tcPr>
          <w:p w14:paraId="5AD879F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具体要求</w:t>
            </w:r>
          </w:p>
        </w:tc>
        <w:tc>
          <w:tcPr>
            <w:tcW w:w="1227" w:type="dxa"/>
          </w:tcPr>
          <w:p w14:paraId="15A5902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r>
              <w:rPr>
                <w:rFonts w:hint="eastAsia"/>
                <w:sz w:val="24"/>
                <w:szCs w:val="24"/>
                <w:vertAlign w:val="baseline"/>
                <w:lang w:val="en-US" w:eastAsia="zh-CN"/>
              </w:rPr>
              <w:t>完成时限</w:t>
            </w:r>
          </w:p>
        </w:tc>
      </w:tr>
      <w:tr w14:paraId="7CC0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3" w:type="dxa"/>
            <w:vAlign w:val="center"/>
          </w:tcPr>
          <w:p w14:paraId="0B1404D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1</w:t>
            </w:r>
          </w:p>
        </w:tc>
        <w:tc>
          <w:tcPr>
            <w:tcW w:w="0" w:type="auto"/>
            <w:vAlign w:val="center"/>
          </w:tcPr>
          <w:p w14:paraId="1614393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风向标安装验收及备案信息修正</w:t>
            </w:r>
          </w:p>
        </w:tc>
        <w:tc>
          <w:tcPr>
            <w:tcW w:w="4773" w:type="dxa"/>
            <w:vAlign w:val="center"/>
          </w:tcPr>
          <w:p w14:paraId="1DC7F28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风向标安装位置规范、功能完好、标识清晰可视，完成现场验收并留存影像资料；场地参数备案信息修正完成</w:t>
            </w:r>
          </w:p>
        </w:tc>
        <w:tc>
          <w:tcPr>
            <w:tcW w:w="1227" w:type="dxa"/>
            <w:vAlign w:val="center"/>
          </w:tcPr>
          <w:p w14:paraId="2CB59AD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合同签订后1个月内</w:t>
            </w:r>
          </w:p>
        </w:tc>
      </w:tr>
      <w:tr w14:paraId="06BA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7F8881E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2</w:t>
            </w:r>
          </w:p>
        </w:tc>
        <w:tc>
          <w:tcPr>
            <w:tcW w:w="0" w:type="auto"/>
            <w:vAlign w:val="center"/>
          </w:tcPr>
          <w:p w14:paraId="69295D8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机场净空保护区图纸备案公示</w:t>
            </w:r>
          </w:p>
        </w:tc>
        <w:tc>
          <w:tcPr>
            <w:tcW w:w="4773" w:type="dxa"/>
            <w:vAlign w:val="center"/>
          </w:tcPr>
          <w:p w14:paraId="3E82768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完成图纸盖章、印发及向属地政府、发改、交通等部门备案公示</w:t>
            </w:r>
          </w:p>
        </w:tc>
        <w:tc>
          <w:tcPr>
            <w:tcW w:w="1227" w:type="dxa"/>
            <w:vAlign w:val="center"/>
          </w:tcPr>
          <w:p w14:paraId="6B0DFEA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30FC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2CB8A2C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3</w:t>
            </w:r>
          </w:p>
        </w:tc>
        <w:tc>
          <w:tcPr>
            <w:tcW w:w="0" w:type="auto"/>
            <w:vAlign w:val="center"/>
          </w:tcPr>
          <w:p w14:paraId="7F1899A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障碍物数据全面更新及测绘报告</w:t>
            </w:r>
          </w:p>
        </w:tc>
        <w:tc>
          <w:tcPr>
            <w:tcW w:w="4773" w:type="dxa"/>
            <w:vAlign w:val="center"/>
          </w:tcPr>
          <w:p w14:paraId="0EDC444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完成全覆盖障碍物测绘核查，更新障碍物台账、净空图纸及备案系统数据，提交测绘报告</w:t>
            </w:r>
          </w:p>
        </w:tc>
        <w:tc>
          <w:tcPr>
            <w:tcW w:w="1227" w:type="dxa"/>
            <w:vAlign w:val="center"/>
          </w:tcPr>
          <w:p w14:paraId="6D2F622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4245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4ADF303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4</w:t>
            </w:r>
          </w:p>
        </w:tc>
        <w:tc>
          <w:tcPr>
            <w:tcW w:w="0" w:type="auto"/>
            <w:vAlign w:val="center"/>
          </w:tcPr>
          <w:p w14:paraId="248AD95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《机场净空巡查管理制度》发布实施</w:t>
            </w:r>
          </w:p>
        </w:tc>
        <w:tc>
          <w:tcPr>
            <w:tcW w:w="4773" w:type="dxa"/>
            <w:vAlign w:val="center"/>
          </w:tcPr>
          <w:p w14:paraId="5FE4A88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制度正式发布实施，建立巡查台账</w:t>
            </w:r>
          </w:p>
        </w:tc>
        <w:tc>
          <w:tcPr>
            <w:tcW w:w="1227" w:type="dxa"/>
            <w:vAlign w:val="center"/>
          </w:tcPr>
          <w:p w14:paraId="74379DC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432D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5965B1E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5</w:t>
            </w:r>
          </w:p>
        </w:tc>
        <w:tc>
          <w:tcPr>
            <w:tcW w:w="0" w:type="auto"/>
            <w:vAlign w:val="center"/>
          </w:tcPr>
          <w:p w14:paraId="3DA9575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安全管理与运营管理制度体系完善</w:t>
            </w:r>
          </w:p>
        </w:tc>
        <w:tc>
          <w:tcPr>
            <w:tcW w:w="4773" w:type="dxa"/>
            <w:vAlign w:val="center"/>
          </w:tcPr>
          <w:p w14:paraId="1511627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完成全套安全运营管理制度修订完善，提交制度汇编</w:t>
            </w:r>
          </w:p>
        </w:tc>
        <w:tc>
          <w:tcPr>
            <w:tcW w:w="1227" w:type="dxa"/>
            <w:vAlign w:val="center"/>
          </w:tcPr>
          <w:p w14:paraId="694D889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5AC1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524984A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6</w:t>
            </w:r>
          </w:p>
        </w:tc>
        <w:tc>
          <w:tcPr>
            <w:tcW w:w="0" w:type="auto"/>
            <w:vAlign w:val="center"/>
          </w:tcPr>
          <w:p w14:paraId="1E50300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应急预案编制备案及首次应急演练</w:t>
            </w:r>
          </w:p>
        </w:tc>
        <w:tc>
          <w:tcPr>
            <w:tcW w:w="4773" w:type="dxa"/>
            <w:vAlign w:val="center"/>
          </w:tcPr>
          <w:p w14:paraId="0BC6396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完成民用航空器事故、通用航空事故、机场突发事件等应急预案编制、评审、备案，组织首次应急演练</w:t>
            </w:r>
          </w:p>
        </w:tc>
        <w:tc>
          <w:tcPr>
            <w:tcW w:w="1227" w:type="dxa"/>
            <w:vAlign w:val="center"/>
          </w:tcPr>
          <w:p w14:paraId="4F80121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10B4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1D52D3E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7</w:t>
            </w:r>
          </w:p>
        </w:tc>
        <w:tc>
          <w:tcPr>
            <w:tcW w:w="0" w:type="auto"/>
            <w:vAlign w:val="center"/>
          </w:tcPr>
          <w:p w14:paraId="031CB9F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民航监管备案信息全面核查修正</w:t>
            </w:r>
          </w:p>
        </w:tc>
        <w:tc>
          <w:tcPr>
            <w:tcW w:w="4773" w:type="dxa"/>
            <w:vAlign w:val="center"/>
          </w:tcPr>
          <w:p w14:paraId="136A0D4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完成全部备案信息核查修正并通过核验</w:t>
            </w:r>
          </w:p>
        </w:tc>
        <w:tc>
          <w:tcPr>
            <w:tcW w:w="1227" w:type="dxa"/>
            <w:vAlign w:val="center"/>
          </w:tcPr>
          <w:p w14:paraId="1C35203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2E78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7529778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eastAsia"/>
                <w:sz w:val="24"/>
                <w:szCs w:val="24"/>
                <w:vertAlign w:val="baseline"/>
                <w:lang w:val="en-US" w:eastAsia="zh-CN"/>
              </w:rPr>
              <w:t>8</w:t>
            </w:r>
          </w:p>
        </w:tc>
        <w:tc>
          <w:tcPr>
            <w:tcW w:w="0" w:type="auto"/>
            <w:vAlign w:val="center"/>
          </w:tcPr>
          <w:p w14:paraId="16BD739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首轮全员专项培训考核</w:t>
            </w:r>
          </w:p>
        </w:tc>
        <w:tc>
          <w:tcPr>
            <w:tcW w:w="4773" w:type="dxa"/>
            <w:vAlign w:val="center"/>
          </w:tcPr>
          <w:p w14:paraId="00B16C5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完成首轮全员专项培训及考核，建立个人培训档案</w:t>
            </w:r>
          </w:p>
        </w:tc>
        <w:tc>
          <w:tcPr>
            <w:tcW w:w="1227" w:type="dxa"/>
            <w:vAlign w:val="center"/>
          </w:tcPr>
          <w:p w14:paraId="7B5FFBB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19C4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2F14B5F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eastAsia"/>
                <w:sz w:val="24"/>
                <w:szCs w:val="24"/>
                <w:vertAlign w:val="baseline"/>
                <w:lang w:val="en-US" w:eastAsia="zh-CN"/>
              </w:rPr>
              <w:t>9</w:t>
            </w:r>
          </w:p>
        </w:tc>
        <w:tc>
          <w:tcPr>
            <w:tcW w:w="0" w:type="auto"/>
            <w:vAlign w:val="center"/>
          </w:tcPr>
          <w:p w14:paraId="5BE83D5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专职安全员配置及安全生产责任制落实</w:t>
            </w:r>
          </w:p>
        </w:tc>
        <w:tc>
          <w:tcPr>
            <w:tcW w:w="4773" w:type="dxa"/>
            <w:vAlign w:val="center"/>
          </w:tcPr>
          <w:p w14:paraId="394FB9F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完成专职安全员配置、岗位说明书完善、全员安全生产责任书签订及台账建立</w:t>
            </w:r>
          </w:p>
        </w:tc>
        <w:tc>
          <w:tcPr>
            <w:tcW w:w="1227" w:type="dxa"/>
            <w:vAlign w:val="center"/>
          </w:tcPr>
          <w:p w14:paraId="6451869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合同签订后3个月内</w:t>
            </w:r>
          </w:p>
        </w:tc>
      </w:tr>
      <w:tr w14:paraId="58D5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6284165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eastAsia"/>
                <w:sz w:val="24"/>
                <w:szCs w:val="24"/>
                <w:vertAlign w:val="baseline"/>
                <w:lang w:val="en-US" w:eastAsia="zh-CN"/>
              </w:rPr>
              <w:t>10</w:t>
            </w:r>
          </w:p>
        </w:tc>
        <w:tc>
          <w:tcPr>
            <w:tcW w:w="0" w:type="auto"/>
            <w:vAlign w:val="center"/>
          </w:tcPr>
          <w:p w14:paraId="1A2CCC9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季度复核报告（长期）</w:t>
            </w:r>
          </w:p>
        </w:tc>
        <w:tc>
          <w:tcPr>
            <w:tcW w:w="4773" w:type="dxa"/>
            <w:vAlign w:val="center"/>
          </w:tcPr>
          <w:p w14:paraId="33A8486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每季度提交净空障碍物数据复核报告、备案信息核查报告</w:t>
            </w:r>
          </w:p>
        </w:tc>
        <w:tc>
          <w:tcPr>
            <w:tcW w:w="1227" w:type="dxa"/>
            <w:vAlign w:val="center"/>
          </w:tcPr>
          <w:p w14:paraId="62E7843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合同期内每季度末</w:t>
            </w:r>
          </w:p>
        </w:tc>
      </w:tr>
      <w:tr w14:paraId="413F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 w:type="dxa"/>
            <w:vAlign w:val="center"/>
          </w:tcPr>
          <w:p w14:paraId="0B191B4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eastAsia"/>
                <w:sz w:val="24"/>
                <w:szCs w:val="24"/>
                <w:vertAlign w:val="baseline"/>
                <w:lang w:val="en-US" w:eastAsia="zh-CN"/>
              </w:rPr>
              <w:t>11</w:t>
            </w:r>
          </w:p>
        </w:tc>
        <w:tc>
          <w:tcPr>
            <w:tcW w:w="2144" w:type="dxa"/>
            <w:vAlign w:val="center"/>
          </w:tcPr>
          <w:p w14:paraId="09CB699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月度运行报告（长期）</w:t>
            </w:r>
          </w:p>
        </w:tc>
        <w:tc>
          <w:tcPr>
            <w:tcW w:w="4773" w:type="dxa"/>
            <w:vAlign w:val="center"/>
          </w:tcPr>
          <w:p w14:paraId="5265B34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每月提交机场运行管理报告、培训记录、巡查记录等</w:t>
            </w:r>
          </w:p>
        </w:tc>
        <w:tc>
          <w:tcPr>
            <w:tcW w:w="1227" w:type="dxa"/>
            <w:vAlign w:val="center"/>
          </w:tcPr>
          <w:p w14:paraId="4172873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sz w:val="24"/>
                <w:szCs w:val="24"/>
                <w:vertAlign w:val="baseline"/>
              </w:rPr>
            </w:pPr>
            <w:r>
              <w:rPr>
                <w:rFonts w:hint="eastAsia"/>
                <w:sz w:val="24"/>
                <w:szCs w:val="24"/>
                <w:vertAlign w:val="baseline"/>
              </w:rPr>
              <w:t>合同期内每月末</w:t>
            </w:r>
          </w:p>
        </w:tc>
      </w:tr>
    </w:tbl>
    <w:p w14:paraId="3D233303">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五、供应商资格要求</w:t>
      </w:r>
    </w:p>
    <w:p w14:paraId="508D1AF4">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（一）主体资格</w:t>
      </w:r>
    </w:p>
    <w:p w14:paraId="12E332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1.在中华人民共和国境内依法注册成立的具有独立法人资格且合法存续的企业。</w:t>
      </w:r>
    </w:p>
    <w:p w14:paraId="6FC8EA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2.未发布解散公示、未被列入经营异常名录或被列入违法失信名单。</w:t>
      </w:r>
    </w:p>
    <w:p w14:paraId="01D0907F">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（二）专业资质</w:t>
      </w:r>
    </w:p>
    <w:p w14:paraId="400CF3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1.具备运行管理通用机场的能力，持有民航部门颁发的相关许可证件。</w:t>
      </w:r>
    </w:p>
    <w:p w14:paraId="29FAAD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2.具备B类直升机场运维管理的专业能力与丰富经验。</w:t>
      </w:r>
    </w:p>
    <w:p w14:paraId="34142D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3.具有民航专业工程或机场运营管理相关的资质证明。</w:t>
      </w:r>
    </w:p>
    <w:p w14:paraId="48960152">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（三）信誉要求</w:t>
      </w:r>
    </w:p>
    <w:p w14:paraId="6CF36F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通过“信用中国”网站（www.creditchina.gov.cn）、中国政府采购网（www.ccgp.gov.cn）查询，未被列入失信被执行人、重大税收违法案件当事人名单、政府采购严重违法失信行为记录名单。</w:t>
      </w:r>
    </w:p>
    <w:p w14:paraId="0AB8D040">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（四）人员要求</w:t>
      </w:r>
    </w:p>
    <w:p w14:paraId="3974EEE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1.具备由管理、飞行/运行、航务、安全和服务等专业人员组成的专业运维团队。</w:t>
      </w:r>
    </w:p>
    <w:p w14:paraId="3B7732D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2.拟派项目负责人须具有通用机场或直升机场运营管理经验，持有相关专业资质证书。</w:t>
      </w:r>
    </w:p>
    <w:p w14:paraId="4DF5B07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3.拟派专职安全生产管理员须具有民航安全管理相关资质和经验。</w:t>
      </w:r>
    </w:p>
    <w:p w14:paraId="4E4C82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4.运维团队中应至少包含具有机场运行管理、净空管理、应急管理、设施设备维护等专业能力的人员。</w:t>
      </w:r>
    </w:p>
    <w:p w14:paraId="54010B4D">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（五）业绩要求</w:t>
      </w:r>
    </w:p>
    <w:p w14:paraId="246855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近__</w:t>
      </w:r>
      <w:r>
        <w:rPr>
          <w:rFonts w:hint="eastAsia"/>
          <w:sz w:val="24"/>
          <w:szCs w:val="24"/>
          <w:lang w:val="en-US" w:eastAsia="zh-CN"/>
        </w:rPr>
        <w:t>3</w:t>
      </w:r>
      <w:r>
        <w:rPr>
          <w:rFonts w:hint="eastAsia"/>
          <w:sz w:val="24"/>
          <w:szCs w:val="24"/>
        </w:rPr>
        <w:t>__年内至少具有__</w:t>
      </w:r>
      <w:r>
        <w:rPr>
          <w:rFonts w:hint="eastAsia"/>
          <w:sz w:val="24"/>
          <w:szCs w:val="24"/>
          <w:lang w:val="en-US" w:eastAsia="zh-CN"/>
        </w:rPr>
        <w:t>1</w:t>
      </w:r>
      <w:r>
        <w:rPr>
          <w:rFonts w:hint="eastAsia"/>
          <w:sz w:val="24"/>
          <w:szCs w:val="24"/>
        </w:rPr>
        <w:t>__项B类直升机场或通用机场运维管理/托管服务项目业绩（需提供合同或中标通知书等证明材料）。</w:t>
      </w:r>
    </w:p>
    <w:p w14:paraId="33321360">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（六）其他要求</w:t>
      </w:r>
    </w:p>
    <w:p w14:paraId="51825B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1.单位负责人为同一人或者存在控股、管理关系的不同单位，不得参加同一项目投标。</w:t>
      </w:r>
    </w:p>
    <w:p w14:paraId="5D6120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2.本项目不接受联合体投标。</w:t>
      </w:r>
    </w:p>
    <w:p w14:paraId="73695A20">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六、考核与验收</w:t>
      </w:r>
    </w:p>
    <w:p w14:paraId="299FD1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（一）过程考核</w:t>
      </w:r>
    </w:p>
    <w:p w14:paraId="5B1C15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1.运维管理单位须按月向采购单位报送整改进展，提交月度运行报告。</w:t>
      </w:r>
    </w:p>
    <w:p w14:paraId="7CBC969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2.采购单位有权对运维管理单位的服务质量进行不定期检查。</w:t>
      </w:r>
    </w:p>
    <w:p w14:paraId="234658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3.运维管理单位须配合采购单位接受民航监管部门及地方主管部门的各项检查，并按要求及时提供相关佐证材料。</w:t>
      </w:r>
    </w:p>
    <w:p w14:paraId="26CD75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（二）验收标准</w:t>
      </w:r>
    </w:p>
    <w:p w14:paraId="6075D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采购单位将根据民航监管部门整改验收标准，对各项服务成果进行逐项验收。验收依据包括：</w:t>
      </w:r>
    </w:p>
    <w:p w14:paraId="5649C9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1.本采购需求第四章所列各项交付成果的完成情况；</w:t>
      </w:r>
    </w:p>
    <w:p w14:paraId="351523F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2.民航监管信息平台备案信息的准确性和规范性；</w:t>
      </w:r>
    </w:p>
    <w:p w14:paraId="024D9B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3.各类制度、预案的完整性和合规性；</w:t>
      </w:r>
    </w:p>
    <w:p w14:paraId="619AFB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4.现场设施设备的完好性和合规性；</w:t>
      </w:r>
    </w:p>
    <w:p w14:paraId="71EA3C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5.各类台账、记录、影像资料的完整性和规范性。</w:t>
      </w:r>
    </w:p>
    <w:p w14:paraId="3418B3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（三）最终验收</w:t>
      </w:r>
    </w:p>
    <w:p w14:paraId="4BD9FC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全部整改内容完成并通过监管复查核验后，视为项目整体验收合格。</w:t>
      </w:r>
    </w:p>
    <w:p w14:paraId="77E2F48C">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七、商务条款</w:t>
      </w:r>
    </w:p>
    <w:p w14:paraId="43521A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（一）报价要求</w:t>
      </w:r>
    </w:p>
    <w:p w14:paraId="7BEA6A8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1.投标报价应包含完成本采购需求全部服务内容所需的一切费用，包括但不限于人员费用、差旅费用、设备费用、测绘费用、资料费用、管理费、税金等。</w:t>
      </w:r>
    </w:p>
    <w:p w14:paraId="336AE7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2.投标人应根据服务内容分项报价，并提供详细的报价说明。</w:t>
      </w:r>
    </w:p>
    <w:p w14:paraId="653E9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（二）付款方式</w:t>
      </w:r>
    </w:p>
    <w:p w14:paraId="1CEF3E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具体付款方式由双方在合同中约定，可采取分期付款方式，与各阶段交付成果的验收挂钩。</w:t>
      </w:r>
    </w:p>
    <w:p w14:paraId="2CECC2C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（三）保密要求</w:t>
      </w:r>
    </w:p>
    <w:p w14:paraId="0568830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运维管理单位在服务过程中知悉的采购单位所有信息（包括但不限于机场资料、运行数据、管理信息等）均属保密信息，未经采购单位书面同意，不得向任何第三方泄露。</w:t>
      </w:r>
    </w:p>
    <w:p w14:paraId="105518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（四）违约责任</w:t>
      </w:r>
    </w:p>
    <w:p w14:paraId="4323A6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1.运维管理单位未按合同约定完成服务内容或交付成果的，应承担相应的违约责任。</w:t>
      </w:r>
    </w:p>
    <w:p w14:paraId="2A02DF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2.因运维管理单位原因导致机场发生安全事故或受到民航监管部门处罚的，运维管理单位应承担相应责任。</w:t>
      </w:r>
    </w:p>
    <w:p w14:paraId="3049B8C1">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八、其他要求</w:t>
      </w:r>
    </w:p>
    <w:p w14:paraId="0EC47F0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（一）驻场与到场要求</w:t>
      </w:r>
    </w:p>
    <w:p w14:paraId="38C2457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考虑到本机场使用频率</w:t>
      </w:r>
      <w:r>
        <w:rPr>
          <w:rFonts w:hint="eastAsia"/>
          <w:sz w:val="24"/>
          <w:szCs w:val="24"/>
          <w:lang w:val="en-US" w:eastAsia="zh-CN"/>
        </w:rPr>
        <w:t>较低</w:t>
      </w:r>
      <w:r>
        <w:rPr>
          <w:rFonts w:hint="eastAsia"/>
          <w:sz w:val="24"/>
          <w:szCs w:val="24"/>
        </w:rPr>
        <w:t>，采用“兼职为主、外委为辅”的轻量化运维模式，运维管理单位须按照以下要求提供服务：</w:t>
      </w:r>
    </w:p>
    <w:p w14:paraId="655B8A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1.常驻兼职负责人：指派1名兼职负责人，每周到场不少于2次（每次不少于半天），负责现场巡视、与医院对接、协调各类专项服务，其余时间通过远程方式管理。</w:t>
      </w:r>
    </w:p>
    <w:p w14:paraId="13C24E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2.专业技术人员到场：每季度至少安排1次专业技术人员到场进行全面巡检维护；接到起降任务通知后48小时内派专业团队到场进行飞行前适航检查与地面保障。</w:t>
      </w:r>
    </w:p>
    <w:p w14:paraId="1F13EF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3.后台远程支撑：制度修订、备案信息更新、培训组织等技术性工作由运维单位总部或区域中心统一远程支撑，确保各项工作按时完成。</w:t>
      </w:r>
    </w:p>
    <w:p w14:paraId="665C9B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（二）兼职人员培训与管理</w:t>
      </w:r>
    </w:p>
    <w:p w14:paraId="2343F7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运维管理单位须对医院指定的兼职巡查人员（物业/保安/电工等）进行培训与管理：</w:t>
      </w:r>
    </w:p>
    <w:p w14:paraId="4CCCEB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1.每年不少于2次集中培训与实操演练，确保兼职人员掌握基本巡查技能和异常识别能力。</w:t>
      </w:r>
    </w:p>
    <w:p w14:paraId="5E0D44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2.编制简易巡查操作手册（图文版），明确每日/每周/每月巡查项目、巡查标准、异常上报流程。</w:t>
      </w:r>
    </w:p>
    <w:p w14:paraId="1B50D6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3.建立兼职人员巡查打卡制度，通过手机小程序/APP实现巡查记录实时上传、后台自动归档。</w:t>
      </w:r>
    </w:p>
    <w:p w14:paraId="403C2C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4.运维单位专业人员每日后台审核巡查记录，异常情况远程诊断后决定是否到场处置。</w:t>
      </w:r>
    </w:p>
    <w:p w14:paraId="6646139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（三）档案管理</w:t>
      </w:r>
    </w:p>
    <w:p w14:paraId="0559B2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运维管理单位须建立完善的运维档案管理制度，所有工作记录、检查报告、测绘数据、培训记录、巡查记录等资料须完整归档备查，做到一事一档、分类管理。</w:t>
      </w:r>
    </w:p>
    <w:p w14:paraId="120F3D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（四）长效管理机制</w:t>
      </w:r>
    </w:p>
    <w:p w14:paraId="692D286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合同期内，运维管理单位须常态化落实以下长效管理工作：</w:t>
      </w:r>
    </w:p>
    <w:p w14:paraId="0FF444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1.季度净空障碍物数据复核更新机制；</w:t>
      </w:r>
    </w:p>
    <w:p w14:paraId="6A9A6B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2.年度从业人员培训及复训机制；</w:t>
      </w:r>
    </w:p>
    <w:p w14:paraId="63358C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3.备案信息定期核查、动态更新机制；</w:t>
      </w:r>
    </w:p>
    <w:p w14:paraId="490710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4.净空保护区日常巡查机制；</w:t>
      </w:r>
    </w:p>
    <w:p w14:paraId="7622DF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5.设施设备定期检查维护机制。</w:t>
      </w:r>
    </w:p>
    <w:p w14:paraId="47B8049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（五）配合检查</w:t>
      </w:r>
    </w:p>
    <w:p w14:paraId="79ECC1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运维管理单位须配合采购单位接受民航监管部门及地方主管部门的各项检查，并按要求及时提供相关佐证材料。</w:t>
      </w:r>
    </w:p>
    <w:p w14:paraId="170AB1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（六）持续改进</w:t>
      </w:r>
    </w:p>
    <w:p w14:paraId="10962A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运维管理单位应根据民航法规更新、行业标准变化和机场运行实际，持续改进和完善各项管理制度与工作流程，确保机场始终处于合规运营状态。</w:t>
      </w:r>
    </w:p>
    <w:p w14:paraId="4D1DA2DD">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九、成本测算与耗材清单</w:t>
      </w:r>
    </w:p>
    <w:p w14:paraId="66503C87">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一</w:t>
      </w:r>
      <w:r>
        <w:rPr>
          <w:rFonts w:hint="eastAsia" w:ascii="楷体_GB2312" w:hAnsi="楷体_GB2312" w:eastAsia="楷体_GB2312" w:cs="楷体_GB2312"/>
          <w:sz w:val="24"/>
          <w:szCs w:val="24"/>
          <w:lang w:eastAsia="zh-CN"/>
        </w:rPr>
        <w:t>）运行模式说明</w:t>
      </w:r>
    </w:p>
    <w:p w14:paraId="169518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鉴于本机场主要为医疗救援应急备勤</w:t>
      </w:r>
      <w:r>
        <w:rPr>
          <w:rFonts w:hint="eastAsia"/>
          <w:sz w:val="24"/>
          <w:szCs w:val="24"/>
          <w:lang w:eastAsia="zh-CN"/>
        </w:rPr>
        <w:t>，</w:t>
      </w:r>
      <w:r>
        <w:rPr>
          <w:rFonts w:hint="eastAsia"/>
          <w:sz w:val="24"/>
          <w:szCs w:val="24"/>
        </w:rPr>
        <w:t>使用频率</w:t>
      </w:r>
      <w:r>
        <w:rPr>
          <w:rFonts w:hint="eastAsia"/>
          <w:sz w:val="24"/>
          <w:szCs w:val="24"/>
          <w:lang w:val="en-US" w:eastAsia="zh-CN"/>
        </w:rPr>
        <w:t>较</w:t>
      </w:r>
      <w:r>
        <w:rPr>
          <w:rFonts w:hint="eastAsia"/>
          <w:sz w:val="24"/>
          <w:szCs w:val="24"/>
        </w:rPr>
        <w:t>低</w:t>
      </w:r>
      <w:r>
        <w:rPr>
          <w:rFonts w:hint="eastAsia"/>
          <w:sz w:val="24"/>
          <w:szCs w:val="24"/>
          <w:lang w:eastAsia="zh-CN"/>
        </w:rPr>
        <w:t>，</w:t>
      </w:r>
      <w:r>
        <w:rPr>
          <w:rFonts w:hint="eastAsia"/>
          <w:sz w:val="24"/>
          <w:szCs w:val="24"/>
        </w:rPr>
        <w:t>参考国内同类型高架直升机场的运维实践，</w:t>
      </w:r>
      <w:r>
        <w:rPr>
          <w:rFonts w:hint="eastAsia"/>
          <w:sz w:val="24"/>
          <w:szCs w:val="24"/>
          <w:lang w:val="en-US" w:eastAsia="zh-CN"/>
        </w:rPr>
        <w:t>拟</w:t>
      </w:r>
      <w:r>
        <w:rPr>
          <w:rFonts w:hint="eastAsia"/>
          <w:sz w:val="24"/>
          <w:szCs w:val="24"/>
        </w:rPr>
        <w:t>采用轻量化运维模式，在确保合规整改和日常维护的前提下，最大限度控制</w:t>
      </w:r>
      <w:r>
        <w:rPr>
          <w:rFonts w:hint="eastAsia"/>
          <w:sz w:val="24"/>
          <w:szCs w:val="24"/>
          <w:lang w:val="en-US" w:eastAsia="zh-CN"/>
        </w:rPr>
        <w:t>人力物力</w:t>
      </w:r>
      <w:r>
        <w:rPr>
          <w:rFonts w:hint="eastAsia"/>
          <w:sz w:val="24"/>
          <w:szCs w:val="24"/>
        </w:rPr>
        <w:t>成本。</w:t>
      </w:r>
    </w:p>
    <w:p w14:paraId="5332476B">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二</w:t>
      </w:r>
      <w:r>
        <w:rPr>
          <w:rFonts w:hint="eastAsia" w:ascii="楷体_GB2312" w:hAnsi="楷体_GB2312" w:eastAsia="楷体_GB2312" w:cs="楷体_GB2312"/>
          <w:sz w:val="24"/>
          <w:szCs w:val="24"/>
          <w:lang w:eastAsia="zh-CN"/>
        </w:rPr>
        <w:t>）人员配置方案</w:t>
      </w:r>
    </w:p>
    <w:p w14:paraId="177D12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根据机场实际运行情况，采用“1名</w:t>
      </w:r>
      <w:r>
        <w:rPr>
          <w:rFonts w:hint="eastAsia"/>
          <w:sz w:val="24"/>
          <w:szCs w:val="24"/>
          <w:lang w:val="en-US" w:eastAsia="zh-CN"/>
        </w:rPr>
        <w:t>运维管理</w:t>
      </w:r>
      <w:r>
        <w:rPr>
          <w:rFonts w:hint="eastAsia"/>
          <w:sz w:val="24"/>
          <w:szCs w:val="24"/>
        </w:rPr>
        <w:t>负责人+医院物业/保安兼职日常巡查</w:t>
      </w:r>
      <w:r>
        <w:rPr>
          <w:rFonts w:hint="eastAsia"/>
          <w:sz w:val="24"/>
          <w:szCs w:val="24"/>
          <w:lang w:val="en-US" w:eastAsia="zh-CN"/>
        </w:rPr>
        <w:t>保养</w:t>
      </w:r>
      <w:r>
        <w:rPr>
          <w:rFonts w:hint="eastAsia"/>
          <w:sz w:val="24"/>
          <w:szCs w:val="24"/>
        </w:rPr>
        <w:t>+运维单位远程支援”的模式，仅在整改集中期、应急演练、实际起降保障等时段临时增派专业技术人员到场。</w:t>
      </w:r>
    </w:p>
    <w:p w14:paraId="730BA59C">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1.</w:t>
      </w:r>
      <w:r>
        <w:rPr>
          <w:rFonts w:hint="eastAsia"/>
          <w:sz w:val="24"/>
          <w:szCs w:val="24"/>
        </w:rPr>
        <w:t>岗位设置</w:t>
      </w:r>
    </w:p>
    <w:tbl>
      <w:tblPr>
        <w:tblStyle w:val="16"/>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2"/>
        <w:gridCol w:w="5713"/>
        <w:gridCol w:w="1672"/>
      </w:tblGrid>
      <w:tr w14:paraId="5E15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E06C4D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序号</w:t>
            </w:r>
          </w:p>
        </w:tc>
        <w:tc>
          <w:tcPr>
            <w:tcW w:w="0" w:type="auto"/>
            <w:vAlign w:val="center"/>
          </w:tcPr>
          <w:p w14:paraId="2095634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r>
              <w:rPr>
                <w:rFonts w:hint="eastAsia"/>
                <w:sz w:val="24"/>
                <w:szCs w:val="24"/>
                <w:vertAlign w:val="baseline"/>
                <w:lang w:val="en-US" w:eastAsia="zh-CN"/>
              </w:rPr>
              <w:t>岗位名称</w:t>
            </w:r>
          </w:p>
        </w:tc>
        <w:tc>
          <w:tcPr>
            <w:tcW w:w="1672" w:type="dxa"/>
            <w:vAlign w:val="center"/>
          </w:tcPr>
          <w:p w14:paraId="5CB9E73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人数</w:t>
            </w:r>
          </w:p>
        </w:tc>
      </w:tr>
      <w:tr w14:paraId="49A3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2" w:type="dxa"/>
            <w:vAlign w:val="center"/>
          </w:tcPr>
          <w:p w14:paraId="5777258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1</w:t>
            </w:r>
          </w:p>
        </w:tc>
        <w:tc>
          <w:tcPr>
            <w:tcW w:w="5713" w:type="dxa"/>
            <w:vAlign w:val="center"/>
          </w:tcPr>
          <w:p w14:paraId="35C1282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机场运维管理负责人</w:t>
            </w:r>
          </w:p>
        </w:tc>
        <w:tc>
          <w:tcPr>
            <w:tcW w:w="1672" w:type="dxa"/>
            <w:vAlign w:val="center"/>
          </w:tcPr>
          <w:p w14:paraId="716074F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1</w:t>
            </w:r>
          </w:p>
        </w:tc>
      </w:tr>
    </w:tbl>
    <w:p w14:paraId="5D412529">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rPr>
      </w:pPr>
      <w:r>
        <w:rPr>
          <w:rFonts w:hint="eastAsia"/>
          <w:sz w:val="24"/>
          <w:szCs w:val="24"/>
          <w:lang w:val="en-US" w:eastAsia="zh-CN"/>
        </w:rPr>
        <w:t>2.</w:t>
      </w:r>
      <w:r>
        <w:rPr>
          <w:rFonts w:hint="eastAsia"/>
          <w:sz w:val="24"/>
          <w:szCs w:val="24"/>
        </w:rPr>
        <w:t>配置原则</w:t>
      </w:r>
    </w:p>
    <w:p w14:paraId="3B9367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一人多岗、一专多能：减少专职人数，通过培训实现多岗合一；</w:t>
      </w:r>
    </w:p>
    <w:p w14:paraId="08994A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依托医院现有资源：场地日常保洁、安保巡查可与医院物业岗位合并；</w:t>
      </w:r>
    </w:p>
    <w:p w14:paraId="62C8E6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运维单位后台支撑：制度修订、备案信息更新、培训组织等技术性工作由运维单位总部或区域中心统一支撑，人员无需常驻。</w:t>
      </w:r>
    </w:p>
    <w:p w14:paraId="5A5330BC">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sz w:val="24"/>
          <w:szCs w:val="24"/>
          <w:lang w:val="en-US" w:eastAsia="zh-CN"/>
        </w:rPr>
      </w:pPr>
      <w:r>
        <w:rPr>
          <w:rFonts w:hint="eastAsia"/>
          <w:sz w:val="24"/>
          <w:szCs w:val="24"/>
          <w:lang w:val="en-US" w:eastAsia="zh-CN"/>
        </w:rPr>
        <w:t>3.岗位职责</w:t>
      </w:r>
    </w:p>
    <w:p w14:paraId="59BBFD5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根据本机场“轻量化运维”模式，机场兼职负责人为本机场现场第一责任人，由运维管理单位指派具备机场运营管理经验的专业人员担任，全面负责本机场的日常运维管理、整改推进、内外协调及应急响应工作。具体工作内容如下：</w:t>
      </w:r>
    </w:p>
    <w:p w14:paraId="62E7EE13">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eastAsia"/>
          <w:sz w:val="24"/>
          <w:szCs w:val="24"/>
          <w:lang w:val="en-US" w:eastAsia="zh-CN"/>
        </w:rPr>
        <w:t>（1）</w:t>
      </w:r>
      <w:r>
        <w:rPr>
          <w:rFonts w:hint="default"/>
          <w:sz w:val="24"/>
          <w:szCs w:val="24"/>
          <w:lang w:val="en-US" w:eastAsia="zh-CN"/>
        </w:rPr>
        <w:t>日常管理工作</w:t>
      </w:r>
    </w:p>
    <w:p w14:paraId="593374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负责机场运维管理的统筹协调工作，作为采购单位与运维单位之间的唯一对接人</w:t>
      </w:r>
      <w:r>
        <w:rPr>
          <w:rFonts w:hint="eastAsia"/>
          <w:sz w:val="24"/>
          <w:szCs w:val="24"/>
          <w:lang w:val="en-US" w:eastAsia="zh-CN"/>
        </w:rPr>
        <w:t>；</w:t>
      </w:r>
    </w:p>
    <w:p w14:paraId="7D6BEF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负责指导医院物业</w:t>
      </w:r>
      <w:r>
        <w:rPr>
          <w:rFonts w:hint="eastAsia"/>
          <w:sz w:val="24"/>
          <w:szCs w:val="24"/>
          <w:lang w:val="en-US" w:eastAsia="zh-CN"/>
        </w:rPr>
        <w:t>、</w:t>
      </w:r>
      <w:r>
        <w:rPr>
          <w:rFonts w:hint="default"/>
          <w:sz w:val="24"/>
          <w:szCs w:val="24"/>
          <w:lang w:val="en-US" w:eastAsia="zh-CN"/>
        </w:rPr>
        <w:t>保安</w:t>
      </w:r>
      <w:r>
        <w:rPr>
          <w:rFonts w:hint="eastAsia"/>
          <w:sz w:val="24"/>
          <w:szCs w:val="24"/>
          <w:lang w:val="en-US" w:eastAsia="zh-CN"/>
        </w:rPr>
        <w:t>、</w:t>
      </w:r>
      <w:r>
        <w:rPr>
          <w:rFonts w:hint="default"/>
          <w:sz w:val="24"/>
          <w:szCs w:val="24"/>
          <w:lang w:val="en-US" w:eastAsia="zh-CN"/>
        </w:rPr>
        <w:t>电工的日常巡查工作，确保巡查频次、巡查质量符合要求</w:t>
      </w:r>
      <w:r>
        <w:rPr>
          <w:rFonts w:hint="eastAsia"/>
          <w:sz w:val="24"/>
          <w:szCs w:val="24"/>
          <w:lang w:val="en-US" w:eastAsia="zh-CN"/>
        </w:rPr>
        <w:t>；</w:t>
      </w:r>
    </w:p>
    <w:p w14:paraId="46D05C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负责建立并维护机场运维管理台账，包括但不限于：设备设施台账、巡查记录台账、维护维修台账、起降活动记录台账等</w:t>
      </w:r>
      <w:r>
        <w:rPr>
          <w:rFonts w:hint="eastAsia"/>
          <w:sz w:val="24"/>
          <w:szCs w:val="24"/>
          <w:lang w:val="en-US" w:eastAsia="zh-CN"/>
        </w:rPr>
        <w:t>；</w:t>
      </w:r>
    </w:p>
    <w:p w14:paraId="224DD3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负责监督机场各类设施设备的完好状态，对发现的问题及时组织维修或更换。</w:t>
      </w:r>
    </w:p>
    <w:p w14:paraId="1AB9EEFE">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eastAsia"/>
          <w:sz w:val="24"/>
          <w:szCs w:val="24"/>
          <w:lang w:val="en-US" w:eastAsia="zh-CN"/>
        </w:rPr>
        <w:t>（2）</w:t>
      </w:r>
      <w:r>
        <w:rPr>
          <w:rFonts w:hint="default"/>
          <w:sz w:val="24"/>
          <w:szCs w:val="24"/>
          <w:lang w:val="en-US" w:eastAsia="zh-CN"/>
        </w:rPr>
        <w:t>整改推进工作</w:t>
      </w:r>
    </w:p>
    <w:p w14:paraId="4C6898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牵头制定机场整改工作推进计划，明确各项整改任务的时间节点和责任人员，确保各项整改工作按序时推进</w:t>
      </w:r>
      <w:r>
        <w:rPr>
          <w:rFonts w:hint="eastAsia"/>
          <w:sz w:val="24"/>
          <w:szCs w:val="24"/>
          <w:lang w:val="en-US" w:eastAsia="zh-CN"/>
        </w:rPr>
        <w:t>；</w:t>
      </w:r>
    </w:p>
    <w:p w14:paraId="652AA8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负责协调委托测绘单位对机场净空保护区开展全覆盖障碍物测绘核查，收集测绘报告并更新障碍物台账</w:t>
      </w:r>
      <w:r>
        <w:rPr>
          <w:rFonts w:hint="eastAsia"/>
          <w:sz w:val="24"/>
          <w:szCs w:val="24"/>
          <w:lang w:val="en-US" w:eastAsia="zh-CN"/>
        </w:rPr>
        <w:t>；</w:t>
      </w:r>
    </w:p>
    <w:p w14:paraId="1E0C7A0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负责协调原设计单位或咨询单位对机场标高、FATO尺寸、障碍物数据、场地基础参数等核心数据进行全面复测核查</w:t>
      </w:r>
      <w:r>
        <w:rPr>
          <w:rFonts w:hint="eastAsia"/>
          <w:sz w:val="24"/>
          <w:szCs w:val="24"/>
          <w:lang w:val="en-US" w:eastAsia="zh-CN"/>
        </w:rPr>
        <w:t>；</w:t>
      </w:r>
    </w:p>
    <w:p w14:paraId="7D7A6D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负责跟进民航监管信息平台（</w:t>
      </w:r>
      <w:r>
        <w:rPr>
          <w:rFonts w:hint="default"/>
          <w:sz w:val="24"/>
          <w:szCs w:val="24"/>
          <w:lang w:val="en-US" w:eastAsia="zh-CN"/>
        </w:rPr>
        <w:fldChar w:fldCharType="begin"/>
      </w:r>
      <w:r>
        <w:rPr>
          <w:rFonts w:hint="default"/>
          <w:sz w:val="24"/>
          <w:szCs w:val="24"/>
          <w:lang w:val="en-US" w:eastAsia="zh-CN"/>
        </w:rPr>
        <w:instrText xml:space="preserve"> HYPERLINK "https://ga.aopa.org.cn/" \t "https://chat.deepseek.com/a/chat/s/_blank" </w:instrText>
      </w:r>
      <w:r>
        <w:rPr>
          <w:rFonts w:hint="default"/>
          <w:sz w:val="24"/>
          <w:szCs w:val="24"/>
          <w:lang w:val="en-US" w:eastAsia="zh-CN"/>
        </w:rPr>
        <w:fldChar w:fldCharType="separate"/>
      </w:r>
      <w:r>
        <w:rPr>
          <w:rFonts w:hint="default"/>
          <w:sz w:val="24"/>
          <w:szCs w:val="24"/>
          <w:lang w:val="en-US" w:eastAsia="zh-CN"/>
        </w:rPr>
        <w:t>https://ga.aopa.org.cn/</w:t>
      </w:r>
      <w:r>
        <w:rPr>
          <w:rFonts w:hint="default"/>
          <w:sz w:val="24"/>
          <w:szCs w:val="24"/>
          <w:lang w:val="en-US" w:eastAsia="zh-CN"/>
        </w:rPr>
        <w:fldChar w:fldCharType="end"/>
      </w:r>
      <w:r>
        <w:rPr>
          <w:rFonts w:hint="default"/>
          <w:sz w:val="24"/>
          <w:szCs w:val="24"/>
          <w:lang w:val="en-US" w:eastAsia="zh-CN"/>
        </w:rPr>
        <w:t>）备案信息的修正工作，确保平台数据与机场实际情况一致</w:t>
      </w:r>
      <w:r>
        <w:rPr>
          <w:rFonts w:hint="eastAsia"/>
          <w:sz w:val="24"/>
          <w:szCs w:val="24"/>
          <w:lang w:val="en-US" w:eastAsia="zh-CN"/>
        </w:rPr>
        <w:t>；</w:t>
      </w:r>
    </w:p>
    <w:p w14:paraId="76BBA4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编制或组织编制全套安全运营管理制度、民用航空器事故应急救援预案、通用航空事故专项应急救援预案、机场突发事件专项应急预案、《机场净空巡查管理制度》等制度文件，完成内部评审、修订及上报备案工作</w:t>
      </w:r>
      <w:r>
        <w:rPr>
          <w:rFonts w:hint="eastAsia"/>
          <w:sz w:val="24"/>
          <w:szCs w:val="24"/>
          <w:lang w:val="en-US" w:eastAsia="zh-CN"/>
        </w:rPr>
        <w:t>；</w:t>
      </w:r>
    </w:p>
    <w:p w14:paraId="253931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负责跟进机场净空保护区图纸的盖章、印发及向属地政府、市发改委、交通局等主管部门备案公示工作</w:t>
      </w:r>
      <w:r>
        <w:rPr>
          <w:rFonts w:hint="eastAsia"/>
          <w:sz w:val="24"/>
          <w:szCs w:val="24"/>
          <w:lang w:val="en-US" w:eastAsia="zh-CN"/>
        </w:rPr>
        <w:t>；</w:t>
      </w:r>
    </w:p>
    <w:p w14:paraId="7347E29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负责监督风向标等目视助航设施的合规整改与安装验收，留存影像资料及验收记录</w:t>
      </w:r>
      <w:r>
        <w:rPr>
          <w:rFonts w:hint="eastAsia"/>
          <w:sz w:val="24"/>
          <w:szCs w:val="24"/>
          <w:lang w:val="en-US" w:eastAsia="zh-CN"/>
        </w:rPr>
        <w:t>；</w:t>
      </w:r>
    </w:p>
    <w:p w14:paraId="51C43F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按月向采购单位报送整改进展报告，按季度向采购单位报送净空障碍物数据复核报告及备案信息核查报告。</w:t>
      </w:r>
    </w:p>
    <w:p w14:paraId="517B00FC">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eastAsia"/>
          <w:sz w:val="24"/>
          <w:szCs w:val="24"/>
          <w:lang w:val="en-US" w:eastAsia="zh-CN"/>
        </w:rPr>
        <w:t>（3）</w:t>
      </w:r>
      <w:r>
        <w:rPr>
          <w:rFonts w:hint="default"/>
          <w:sz w:val="24"/>
          <w:szCs w:val="24"/>
          <w:lang w:val="en-US" w:eastAsia="zh-CN"/>
        </w:rPr>
        <w:t>巡查与巡检工作</w:t>
      </w:r>
    </w:p>
    <w:p w14:paraId="44E4C7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default"/>
          <w:sz w:val="24"/>
          <w:szCs w:val="24"/>
          <w:lang w:val="en-US" w:eastAsia="zh-CN"/>
        </w:rPr>
        <w:t>每日线上</w:t>
      </w:r>
      <w:r>
        <w:rPr>
          <w:rFonts w:hint="eastAsia"/>
          <w:sz w:val="24"/>
          <w:szCs w:val="24"/>
          <w:lang w:val="en-US" w:eastAsia="zh-CN"/>
        </w:rPr>
        <w:t>远程</w:t>
      </w:r>
      <w:r>
        <w:rPr>
          <w:rFonts w:hint="default"/>
          <w:sz w:val="24"/>
          <w:szCs w:val="24"/>
          <w:lang w:val="en-US" w:eastAsia="zh-CN"/>
        </w:rPr>
        <w:t>检查机场整体状况，重点检查道面有无裂缝/坑洞/积水、标志标识是否清晰可辨、风向标功能是否正常、助航设施是否完好</w:t>
      </w:r>
      <w:r>
        <w:rPr>
          <w:rFonts w:hint="eastAsia"/>
          <w:sz w:val="24"/>
          <w:szCs w:val="24"/>
          <w:lang w:val="en-US" w:eastAsia="zh-CN"/>
        </w:rPr>
        <w:t>。每周至少实地到场检查1次；</w:t>
      </w:r>
    </w:p>
    <w:p w14:paraId="40E70F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每月实地到场或远程指导兼职后勤人员</w:t>
      </w:r>
      <w:r>
        <w:rPr>
          <w:rFonts w:hint="eastAsia"/>
          <w:sz w:val="24"/>
          <w:szCs w:val="24"/>
          <w:lang w:val="en-US" w:eastAsia="zh-CN"/>
        </w:rPr>
        <w:t>至少</w:t>
      </w:r>
      <w:r>
        <w:rPr>
          <w:rFonts w:hint="default"/>
          <w:sz w:val="24"/>
          <w:szCs w:val="24"/>
          <w:lang w:val="en-US" w:eastAsia="zh-CN"/>
        </w:rPr>
        <w:t>完成1次净空保护区简易巡查，对净空保护区范围内的建筑物施工、塔吊、新建构筑物等进行目视排查，发现异常及时记录并上报</w:t>
      </w:r>
      <w:r>
        <w:rPr>
          <w:rFonts w:hint="eastAsia"/>
          <w:sz w:val="24"/>
          <w:szCs w:val="24"/>
          <w:lang w:val="en-US" w:eastAsia="zh-CN"/>
        </w:rPr>
        <w:t>，如有必要应及时更新机场净空保护区图纸并重新备案</w:t>
      </w:r>
      <w:r>
        <w:rPr>
          <w:rFonts w:hint="default"/>
          <w:sz w:val="24"/>
          <w:szCs w:val="24"/>
          <w:lang w:val="en-US" w:eastAsia="zh-CN"/>
        </w:rPr>
        <w:t>；整理当月巡查数据，录入管理台账</w:t>
      </w:r>
      <w:r>
        <w:rPr>
          <w:rFonts w:hint="eastAsia"/>
          <w:sz w:val="24"/>
          <w:szCs w:val="24"/>
          <w:lang w:val="en-US" w:eastAsia="zh-CN"/>
        </w:rPr>
        <w:t>；</w:t>
      </w:r>
    </w:p>
    <w:p w14:paraId="2B9F61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每季度负责组织运维单位专业技术人员到场开展1次全面专业巡检，包括FATO平整度检测、标志标识清晰度评估、助航设施功能性测试、风向标风速指示准确性校验、净空保护区障碍物全面核查等。</w:t>
      </w:r>
    </w:p>
    <w:p w14:paraId="4CE217DC">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eastAsia"/>
          <w:sz w:val="24"/>
          <w:szCs w:val="24"/>
          <w:lang w:val="en-US" w:eastAsia="zh-CN"/>
        </w:rPr>
        <w:t>（4）</w:t>
      </w:r>
      <w:r>
        <w:rPr>
          <w:rFonts w:hint="default"/>
          <w:sz w:val="24"/>
          <w:szCs w:val="24"/>
          <w:lang w:val="en-US" w:eastAsia="zh-CN"/>
        </w:rPr>
        <w:t>应急响应与起降保障工作</w:t>
      </w:r>
    </w:p>
    <w:p w14:paraId="31931A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①</w:t>
      </w:r>
      <w:r>
        <w:rPr>
          <w:rFonts w:hint="default"/>
          <w:sz w:val="24"/>
          <w:szCs w:val="24"/>
          <w:lang w:val="en-US" w:eastAsia="zh-CN"/>
        </w:rPr>
        <w:t>接到直升机起降任务通知后，在</w:t>
      </w:r>
      <w:r>
        <w:rPr>
          <w:rFonts w:hint="eastAsia"/>
          <w:sz w:val="24"/>
          <w:szCs w:val="24"/>
          <w:lang w:val="en-US" w:eastAsia="zh-CN"/>
        </w:rPr>
        <w:t>直升机起飞/到达前至少2小时</w:t>
      </w:r>
      <w:r>
        <w:rPr>
          <w:rFonts w:hint="default"/>
          <w:sz w:val="24"/>
          <w:szCs w:val="24"/>
          <w:lang w:val="en-US" w:eastAsia="zh-CN"/>
        </w:rPr>
        <w:t>组织专业团队到场</w:t>
      </w:r>
      <w:r>
        <w:rPr>
          <w:rFonts w:hint="eastAsia"/>
          <w:sz w:val="24"/>
          <w:szCs w:val="24"/>
          <w:lang w:val="en-US" w:eastAsia="zh-CN"/>
        </w:rPr>
        <w:t>开展准备工作</w:t>
      </w:r>
      <w:r>
        <w:rPr>
          <w:rFonts w:hint="default"/>
          <w:sz w:val="24"/>
          <w:szCs w:val="24"/>
          <w:lang w:val="en-US" w:eastAsia="zh-CN"/>
        </w:rPr>
        <w:t>：</w:t>
      </w:r>
    </w:p>
    <w:p w14:paraId="5B005A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起降前对FATO、TLOF、安全区进行适航检查，确认道面清洁无异物、标志标识清晰；</w:t>
      </w:r>
    </w:p>
    <w:p w14:paraId="6C7B32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检查风向标功能正常，确认风向风速指示准确；</w:t>
      </w:r>
    </w:p>
    <w:p w14:paraId="6E0CCA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检查通信设备畅通；</w:t>
      </w:r>
    </w:p>
    <w:p w14:paraId="3F7CC77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确认消防器材、应急物资到位且状态良好；</w:t>
      </w:r>
    </w:p>
    <w:p w14:paraId="286609C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完成地面保障人员部署，确保起降安全。</w:t>
      </w:r>
    </w:p>
    <w:p w14:paraId="0C528A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default"/>
          <w:sz w:val="24"/>
          <w:szCs w:val="24"/>
          <w:lang w:val="en-US" w:eastAsia="zh-CN"/>
        </w:rPr>
        <w:t>起降任务完成后48小时内，提交《起降保障工作报告》，记录起降时间、机型、保障人员、设备状态、存在问题及改进建议。</w:t>
      </w:r>
    </w:p>
    <w:p w14:paraId="118B8C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②</w:t>
      </w:r>
      <w:r>
        <w:rPr>
          <w:rFonts w:hint="default"/>
          <w:sz w:val="24"/>
          <w:szCs w:val="24"/>
          <w:lang w:val="en-US" w:eastAsia="zh-CN"/>
        </w:rPr>
        <w:t>接到巡查人员上报的突发异常情况（如发现超高障碍物、道面严重破损、风向标损坏、助航设施故障等）后，在2小时内响应并远程诊断，确需到场处置的，24小时内到场处理。</w:t>
      </w:r>
    </w:p>
    <w:p w14:paraId="0570F9C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③</w:t>
      </w:r>
      <w:r>
        <w:rPr>
          <w:rFonts w:hint="default"/>
          <w:sz w:val="24"/>
          <w:szCs w:val="24"/>
          <w:lang w:val="en-US" w:eastAsia="zh-CN"/>
        </w:rPr>
        <w:t>每年组织至少1次机场突发事件应急演练（含民用航空器事故、通用航空事故等场景），制定演练方案，做好演练记录、影像留存及事后复盘总结，形成演练评估报告提交采购单位。</w:t>
      </w:r>
    </w:p>
    <w:p w14:paraId="606456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④</w:t>
      </w:r>
      <w:r>
        <w:rPr>
          <w:rFonts w:hint="default"/>
          <w:sz w:val="24"/>
          <w:szCs w:val="24"/>
          <w:lang w:val="en-US" w:eastAsia="zh-CN"/>
        </w:rPr>
        <w:t>负责与梧州市应急管理局、消防部门、120急救中心等外部应急救援力量的协调联络，建立应急联动机制，确保突发事件时能快速响应。</w:t>
      </w:r>
    </w:p>
    <w:p w14:paraId="4AB5A1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⑤</w:t>
      </w:r>
      <w:r>
        <w:rPr>
          <w:rFonts w:hint="default"/>
          <w:sz w:val="24"/>
          <w:szCs w:val="24"/>
          <w:lang w:val="en-US" w:eastAsia="zh-CN"/>
        </w:rPr>
        <w:t>负责配合采购单位接受民航监管部门及地方主管部门的各项检查，提前准备检查所需资料，</w:t>
      </w:r>
      <w:r>
        <w:rPr>
          <w:rFonts w:hint="eastAsia"/>
          <w:sz w:val="24"/>
          <w:szCs w:val="24"/>
          <w:lang w:val="en-US" w:eastAsia="zh-CN"/>
        </w:rPr>
        <w:t>在约定时间内到达</w:t>
      </w:r>
      <w:r>
        <w:rPr>
          <w:rFonts w:hint="default"/>
          <w:sz w:val="24"/>
          <w:szCs w:val="24"/>
          <w:lang w:val="en-US" w:eastAsia="zh-CN"/>
        </w:rPr>
        <w:t>现场配合检查并跟进整改意见。</w:t>
      </w:r>
    </w:p>
    <w:p w14:paraId="21161763">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eastAsia"/>
          <w:sz w:val="24"/>
          <w:szCs w:val="24"/>
          <w:lang w:val="en-US" w:eastAsia="zh-CN"/>
        </w:rPr>
        <w:t>（5）</w:t>
      </w:r>
      <w:r>
        <w:rPr>
          <w:rFonts w:hint="default"/>
          <w:sz w:val="24"/>
          <w:szCs w:val="24"/>
          <w:lang w:val="en-US" w:eastAsia="zh-CN"/>
        </w:rPr>
        <w:t>培训与人员管理工作</w:t>
      </w:r>
    </w:p>
    <w:p w14:paraId="2D239F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①</w:t>
      </w:r>
      <w:r>
        <w:rPr>
          <w:rFonts w:hint="default"/>
          <w:sz w:val="24"/>
          <w:szCs w:val="24"/>
          <w:lang w:val="en-US" w:eastAsia="zh-CN"/>
        </w:rPr>
        <w:t>负责编制年度培训计划，报采购单位审核后组织实施。</w:t>
      </w:r>
    </w:p>
    <w:p w14:paraId="6421279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②</w:t>
      </w:r>
      <w:r>
        <w:rPr>
          <w:rFonts w:hint="default"/>
          <w:sz w:val="24"/>
          <w:szCs w:val="24"/>
          <w:lang w:val="en-US" w:eastAsia="zh-CN"/>
        </w:rPr>
        <w:t>每年组织不少于2次集中培训与实操演练，对医院巡查人员（保安/物业/电工）进行机场基础知识、巡查要点、异常识别与上报流程、风向标/助航设施基本维护、突发事件先期处置等内容培训，确保兼职人员考核合格后上岗。</w:t>
      </w:r>
    </w:p>
    <w:p w14:paraId="691E81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③</w:t>
      </w:r>
      <w:r>
        <w:rPr>
          <w:rFonts w:hint="default"/>
          <w:sz w:val="24"/>
          <w:szCs w:val="24"/>
          <w:lang w:val="en-US" w:eastAsia="zh-CN"/>
        </w:rPr>
        <w:t>负责编制简易巡查操作手册（图文版）并发放至每一位</w:t>
      </w:r>
      <w:r>
        <w:rPr>
          <w:rFonts w:hint="eastAsia"/>
          <w:sz w:val="24"/>
          <w:szCs w:val="24"/>
          <w:lang w:val="en-US" w:eastAsia="zh-CN"/>
        </w:rPr>
        <w:t>医院</w:t>
      </w:r>
      <w:r>
        <w:rPr>
          <w:rFonts w:hint="default"/>
          <w:sz w:val="24"/>
          <w:szCs w:val="24"/>
          <w:lang w:val="en-US" w:eastAsia="zh-CN"/>
        </w:rPr>
        <w:t>巡查人员。</w:t>
      </w:r>
    </w:p>
    <w:p w14:paraId="0E50BC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④</w:t>
      </w:r>
      <w:r>
        <w:rPr>
          <w:rFonts w:hint="default"/>
          <w:sz w:val="24"/>
          <w:szCs w:val="24"/>
          <w:lang w:val="en-US" w:eastAsia="zh-CN"/>
        </w:rPr>
        <w:t>负责建立并维护所有从业人员（含兼职人员）的个人培训档案，完整记录每次培训内容、考核成绩、复训记录。</w:t>
      </w:r>
    </w:p>
    <w:p w14:paraId="170B5713">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eastAsia"/>
          <w:sz w:val="24"/>
          <w:szCs w:val="24"/>
          <w:lang w:val="en-US" w:eastAsia="zh-CN"/>
        </w:rPr>
        <w:t>（6）</w:t>
      </w:r>
      <w:r>
        <w:rPr>
          <w:rFonts w:hint="default"/>
          <w:sz w:val="24"/>
          <w:szCs w:val="24"/>
          <w:lang w:val="en-US" w:eastAsia="zh-CN"/>
        </w:rPr>
        <w:t>档案与报告管理</w:t>
      </w:r>
    </w:p>
    <w:p w14:paraId="458FE4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①</w:t>
      </w:r>
      <w:r>
        <w:rPr>
          <w:rFonts w:hint="default"/>
          <w:sz w:val="24"/>
          <w:szCs w:val="24"/>
          <w:lang w:val="en-US" w:eastAsia="zh-CN"/>
        </w:rPr>
        <w:t>负责建立“一事一档”管理制度，所有工作记录、检查报告、测绘数据、培训记录、巡查记录、起降保障记录等资料须完整归档，分类保管。</w:t>
      </w:r>
    </w:p>
    <w:p w14:paraId="162FC7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②</w:t>
      </w:r>
      <w:r>
        <w:rPr>
          <w:rFonts w:hint="default"/>
          <w:sz w:val="24"/>
          <w:szCs w:val="24"/>
          <w:lang w:val="en-US" w:eastAsia="zh-CN"/>
        </w:rPr>
        <w:t>按月编制《月度运行报告》，内容包括：本月巡查情况汇总、设施设备状态评估、整改工作进展、培训开展情况、存在问题与改进措施、下月工作计划等。</w:t>
      </w:r>
    </w:p>
    <w:p w14:paraId="3D6F4D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③</w:t>
      </w:r>
      <w:r>
        <w:rPr>
          <w:rFonts w:hint="default"/>
          <w:sz w:val="24"/>
          <w:szCs w:val="24"/>
          <w:lang w:val="en-US" w:eastAsia="zh-CN"/>
        </w:rPr>
        <w:t>按季度编制《季度净空障碍物复核报告》及《季度备案信息核查报告》，提交采购单位存档。</w:t>
      </w:r>
    </w:p>
    <w:p w14:paraId="3FD848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④</w:t>
      </w:r>
      <w:r>
        <w:rPr>
          <w:rFonts w:hint="default"/>
          <w:sz w:val="24"/>
          <w:szCs w:val="24"/>
          <w:lang w:val="en-US" w:eastAsia="zh-CN"/>
        </w:rPr>
        <w:t>按年度编制《年度工作总结报告》，汇总全年运维工作情况，评估机场整体运行状态，提出下年度工作建议。</w:t>
      </w:r>
    </w:p>
    <w:p w14:paraId="25580A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⑤</w:t>
      </w:r>
      <w:r>
        <w:rPr>
          <w:rFonts w:hint="default"/>
          <w:sz w:val="24"/>
          <w:szCs w:val="24"/>
          <w:lang w:val="en-US" w:eastAsia="zh-CN"/>
        </w:rPr>
        <w:t>负责民航监管信息平台的日常维护和信息更新，确保备案信息持续有效。</w:t>
      </w:r>
    </w:p>
    <w:p w14:paraId="248D8362">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default"/>
          <w:sz w:val="24"/>
          <w:szCs w:val="24"/>
          <w:lang w:val="en-US" w:eastAsia="zh-CN"/>
        </w:rPr>
      </w:pPr>
      <w:r>
        <w:rPr>
          <w:rFonts w:hint="default"/>
          <w:sz w:val="24"/>
          <w:szCs w:val="24"/>
          <w:lang w:val="en-US" w:eastAsia="zh-CN"/>
        </w:rPr>
        <w:t>（</w:t>
      </w:r>
      <w:r>
        <w:rPr>
          <w:rFonts w:hint="eastAsia"/>
          <w:sz w:val="24"/>
          <w:szCs w:val="24"/>
          <w:lang w:val="en-US" w:eastAsia="zh-CN"/>
        </w:rPr>
        <w:t>7</w:t>
      </w:r>
      <w:r>
        <w:rPr>
          <w:rFonts w:hint="default"/>
          <w:sz w:val="24"/>
          <w:szCs w:val="24"/>
          <w:lang w:val="en-US" w:eastAsia="zh-CN"/>
        </w:rPr>
        <w:t>）其他工作</w:t>
      </w:r>
    </w:p>
    <w:p w14:paraId="0F3AFB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①</w:t>
      </w:r>
      <w:r>
        <w:rPr>
          <w:rFonts w:hint="default"/>
          <w:sz w:val="24"/>
          <w:szCs w:val="24"/>
          <w:lang w:val="en-US" w:eastAsia="zh-CN"/>
        </w:rPr>
        <w:t>负责与属地发改、交通、自然资源、应急管理等政府主管部门的日常沟通对接，跟进通用机场布局规划申报、国土空间规划办理等行政事务的进展情况。</w:t>
      </w:r>
    </w:p>
    <w:p w14:paraId="65755A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②</w:t>
      </w:r>
      <w:r>
        <w:rPr>
          <w:rFonts w:hint="default"/>
          <w:sz w:val="24"/>
          <w:szCs w:val="24"/>
          <w:lang w:val="en-US" w:eastAsia="zh-CN"/>
        </w:rPr>
        <w:t>关注民航法规、行业标准的更新动态，及时评估对本机场的影响，提出制度修订和工作流程调整建议。</w:t>
      </w:r>
    </w:p>
    <w:p w14:paraId="5A5EBF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sz w:val="24"/>
          <w:szCs w:val="24"/>
          <w:lang w:val="en-US" w:eastAsia="zh-CN"/>
        </w:rPr>
      </w:pPr>
      <w:r>
        <w:rPr>
          <w:rFonts w:hint="eastAsia"/>
          <w:sz w:val="24"/>
          <w:szCs w:val="24"/>
          <w:lang w:val="en-US" w:eastAsia="zh-CN"/>
        </w:rPr>
        <w:t>③</w:t>
      </w:r>
      <w:r>
        <w:rPr>
          <w:rFonts w:hint="default"/>
          <w:sz w:val="24"/>
          <w:szCs w:val="24"/>
          <w:lang w:val="en-US" w:eastAsia="zh-CN"/>
        </w:rPr>
        <w:t>负责采购单位交办的其他与机场运维管理相关的工作事项。</w:t>
      </w:r>
    </w:p>
    <w:p w14:paraId="002F3D6F">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三</w:t>
      </w:r>
      <w:r>
        <w:rPr>
          <w:rFonts w:hint="eastAsia" w:ascii="楷体_GB2312" w:hAnsi="楷体_GB2312" w:eastAsia="楷体_GB2312" w:cs="楷体_GB2312"/>
          <w:sz w:val="24"/>
          <w:szCs w:val="24"/>
          <w:lang w:eastAsia="zh-CN"/>
        </w:rPr>
        <w:t>）人力成本测算表</w:t>
      </w:r>
    </w:p>
    <w:tbl>
      <w:tblPr>
        <w:tblStyle w:val="16"/>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3743"/>
        <w:gridCol w:w="1286"/>
        <w:gridCol w:w="3115"/>
      </w:tblGrid>
      <w:tr w14:paraId="5BD8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67DFCC2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序号</w:t>
            </w:r>
          </w:p>
        </w:tc>
        <w:tc>
          <w:tcPr>
            <w:tcW w:w="3743" w:type="dxa"/>
            <w:vAlign w:val="center"/>
          </w:tcPr>
          <w:p w14:paraId="5CA5E80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r>
              <w:rPr>
                <w:rFonts w:hint="eastAsia"/>
                <w:sz w:val="24"/>
                <w:szCs w:val="24"/>
                <w:vertAlign w:val="baseline"/>
                <w:lang w:val="en-US" w:eastAsia="zh-CN"/>
              </w:rPr>
              <w:t>费用项目</w:t>
            </w:r>
          </w:p>
        </w:tc>
        <w:tc>
          <w:tcPr>
            <w:tcW w:w="1286" w:type="dxa"/>
            <w:vAlign w:val="center"/>
          </w:tcPr>
          <w:p w14:paraId="0B0FBDA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金额</w:t>
            </w:r>
          </w:p>
        </w:tc>
        <w:tc>
          <w:tcPr>
            <w:tcW w:w="3114" w:type="dxa"/>
            <w:vAlign w:val="center"/>
          </w:tcPr>
          <w:p w14:paraId="18A12A1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r>
              <w:rPr>
                <w:rFonts w:hint="eastAsia"/>
                <w:sz w:val="24"/>
                <w:szCs w:val="24"/>
                <w:vertAlign w:val="baseline"/>
                <w:lang w:val="en-US" w:eastAsia="zh-CN"/>
              </w:rPr>
              <w:t>计算方式</w:t>
            </w:r>
          </w:p>
        </w:tc>
      </w:tr>
      <w:tr w14:paraId="5277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08E5F4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1</w:t>
            </w:r>
          </w:p>
        </w:tc>
        <w:tc>
          <w:tcPr>
            <w:tcW w:w="3743" w:type="dxa"/>
            <w:vAlign w:val="center"/>
          </w:tcPr>
          <w:p w14:paraId="4540C05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eastAsia="仿宋_GB2312"/>
                <w:sz w:val="24"/>
                <w:szCs w:val="24"/>
                <w:vertAlign w:val="baseline"/>
                <w:lang w:val="en-US" w:eastAsia="zh-CN"/>
              </w:rPr>
            </w:pPr>
            <w:r>
              <w:rPr>
                <w:rFonts w:hint="eastAsia"/>
                <w:sz w:val="24"/>
                <w:szCs w:val="24"/>
                <w:vertAlign w:val="baseline"/>
                <w:lang w:val="en-US" w:eastAsia="zh-CN"/>
              </w:rPr>
              <w:t>运维管理负责人1名</w:t>
            </w:r>
          </w:p>
        </w:tc>
        <w:tc>
          <w:tcPr>
            <w:tcW w:w="1286" w:type="dxa"/>
            <w:vAlign w:val="center"/>
          </w:tcPr>
          <w:p w14:paraId="716229F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p>
        </w:tc>
        <w:tc>
          <w:tcPr>
            <w:tcW w:w="3114" w:type="dxa"/>
            <w:vAlign w:val="center"/>
          </w:tcPr>
          <w:p w14:paraId="17163C8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eastAsia="仿宋_GB2312"/>
                <w:sz w:val="24"/>
                <w:szCs w:val="24"/>
                <w:vertAlign w:val="baseline"/>
                <w:lang w:val="en-US" w:eastAsia="zh-CN"/>
              </w:rPr>
            </w:pPr>
            <w:r>
              <w:rPr>
                <w:rFonts w:hint="eastAsia"/>
                <w:sz w:val="24"/>
                <w:szCs w:val="24"/>
                <w:vertAlign w:val="baseline"/>
                <w:lang w:val="en-US" w:eastAsia="zh-CN"/>
              </w:rPr>
              <w:t>1年，列入合同总金额</w:t>
            </w:r>
          </w:p>
        </w:tc>
      </w:tr>
      <w:tr w14:paraId="02B6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33B486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2</w:t>
            </w:r>
          </w:p>
        </w:tc>
        <w:tc>
          <w:tcPr>
            <w:tcW w:w="3743" w:type="dxa"/>
            <w:vAlign w:val="center"/>
          </w:tcPr>
          <w:p w14:paraId="3BD464A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eastAsia="仿宋_GB2312"/>
                <w:sz w:val="24"/>
                <w:szCs w:val="24"/>
                <w:vertAlign w:val="baseline"/>
                <w:lang w:val="en-US" w:eastAsia="zh-CN"/>
              </w:rPr>
            </w:pPr>
            <w:r>
              <w:rPr>
                <w:rFonts w:hint="eastAsia"/>
                <w:sz w:val="24"/>
                <w:szCs w:val="24"/>
                <w:vertAlign w:val="baseline"/>
                <w:lang w:val="en-US" w:eastAsia="zh-CN"/>
              </w:rPr>
              <w:t>远程后台支撑服务费</w:t>
            </w:r>
          </w:p>
        </w:tc>
        <w:tc>
          <w:tcPr>
            <w:tcW w:w="1286" w:type="dxa"/>
            <w:vAlign w:val="center"/>
          </w:tcPr>
          <w:p w14:paraId="4A624AD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p>
        </w:tc>
        <w:tc>
          <w:tcPr>
            <w:tcW w:w="3114" w:type="dxa"/>
            <w:vAlign w:val="center"/>
          </w:tcPr>
          <w:p w14:paraId="7C2E4D7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eastAsia="仿宋_GB2312"/>
                <w:sz w:val="24"/>
                <w:szCs w:val="24"/>
                <w:vertAlign w:val="baseline"/>
                <w:lang w:val="en-US" w:eastAsia="zh-CN"/>
              </w:rPr>
            </w:pPr>
            <w:r>
              <w:rPr>
                <w:rFonts w:hint="eastAsia"/>
                <w:sz w:val="24"/>
                <w:szCs w:val="24"/>
                <w:vertAlign w:val="baseline"/>
                <w:lang w:val="en-US" w:eastAsia="zh-CN"/>
              </w:rPr>
              <w:t>1年，列入合同总金额</w:t>
            </w:r>
          </w:p>
        </w:tc>
      </w:tr>
      <w:tr w14:paraId="5E15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EFDA3E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eastAsia="仿宋_GB2312"/>
                <w:sz w:val="24"/>
                <w:szCs w:val="24"/>
                <w:vertAlign w:val="baseline"/>
                <w:lang w:val="en-US" w:eastAsia="zh-CN"/>
              </w:rPr>
            </w:pPr>
            <w:r>
              <w:rPr>
                <w:rFonts w:hint="eastAsia"/>
                <w:sz w:val="24"/>
                <w:szCs w:val="24"/>
                <w:vertAlign w:val="baseline"/>
                <w:lang w:val="en-US" w:eastAsia="zh-CN"/>
              </w:rPr>
              <w:t>3</w:t>
            </w:r>
          </w:p>
        </w:tc>
        <w:tc>
          <w:tcPr>
            <w:tcW w:w="3743" w:type="dxa"/>
            <w:vAlign w:val="center"/>
          </w:tcPr>
          <w:p w14:paraId="5BECE60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eastAsia="仿宋_GB2312"/>
                <w:sz w:val="24"/>
                <w:szCs w:val="24"/>
                <w:vertAlign w:val="baseline"/>
                <w:lang w:val="en-US" w:eastAsia="zh-CN"/>
              </w:rPr>
            </w:pPr>
            <w:r>
              <w:rPr>
                <w:rFonts w:hint="eastAsia"/>
                <w:sz w:val="24"/>
                <w:szCs w:val="24"/>
                <w:vertAlign w:val="baseline"/>
                <w:lang w:val="en-US" w:eastAsia="zh-CN"/>
              </w:rPr>
              <w:t>季度巡检（含专业团队人工、差旅等杂费）</w:t>
            </w:r>
          </w:p>
        </w:tc>
        <w:tc>
          <w:tcPr>
            <w:tcW w:w="1286" w:type="dxa"/>
            <w:vAlign w:val="center"/>
          </w:tcPr>
          <w:p w14:paraId="185DBEA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eastAsia="仿宋_GB2312"/>
                <w:sz w:val="24"/>
                <w:szCs w:val="24"/>
                <w:vertAlign w:val="baseline"/>
                <w:lang w:val="en-US" w:eastAsia="zh-CN"/>
              </w:rPr>
            </w:pPr>
          </w:p>
        </w:tc>
        <w:tc>
          <w:tcPr>
            <w:tcW w:w="3114" w:type="dxa"/>
            <w:vAlign w:val="center"/>
          </w:tcPr>
          <w:p w14:paraId="56D63C8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eastAsia="仿宋_GB2312"/>
                <w:sz w:val="24"/>
                <w:szCs w:val="24"/>
                <w:vertAlign w:val="baseline"/>
                <w:lang w:val="en-US" w:eastAsia="zh-CN"/>
              </w:rPr>
            </w:pPr>
            <w:r>
              <w:rPr>
                <w:rFonts w:hint="eastAsia"/>
                <w:sz w:val="24"/>
                <w:szCs w:val="24"/>
                <w:vertAlign w:val="baseline"/>
                <w:lang w:val="en-US" w:eastAsia="zh-CN"/>
              </w:rPr>
              <w:t>1年，列入合同总金额</w:t>
            </w:r>
          </w:p>
        </w:tc>
      </w:tr>
      <w:tr w14:paraId="3DFA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499651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r>
              <w:rPr>
                <w:rFonts w:hint="eastAsia"/>
                <w:sz w:val="24"/>
                <w:szCs w:val="24"/>
                <w:vertAlign w:val="baseline"/>
                <w:lang w:val="en-US" w:eastAsia="zh-CN"/>
              </w:rPr>
              <w:t>4</w:t>
            </w:r>
          </w:p>
        </w:tc>
        <w:tc>
          <w:tcPr>
            <w:tcW w:w="3743" w:type="dxa"/>
            <w:vAlign w:val="center"/>
          </w:tcPr>
          <w:p w14:paraId="7EE7BAC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default"/>
                <w:sz w:val="24"/>
                <w:szCs w:val="24"/>
                <w:vertAlign w:val="baseline"/>
                <w:lang w:val="en-US" w:eastAsia="zh-CN"/>
              </w:rPr>
            </w:pPr>
            <w:r>
              <w:rPr>
                <w:rFonts w:hint="eastAsia"/>
                <w:sz w:val="24"/>
                <w:szCs w:val="24"/>
                <w:vertAlign w:val="baseline"/>
                <w:lang w:val="en-US" w:eastAsia="zh-CN"/>
              </w:rPr>
              <w:t>直升机起降保障服务（含专业团队人工、差旅等杂费）</w:t>
            </w:r>
          </w:p>
        </w:tc>
        <w:tc>
          <w:tcPr>
            <w:tcW w:w="1286" w:type="dxa"/>
            <w:vAlign w:val="center"/>
          </w:tcPr>
          <w:p w14:paraId="7087F37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sz w:val="24"/>
                <w:szCs w:val="24"/>
                <w:vertAlign w:val="baseline"/>
                <w:lang w:val="en-US" w:eastAsia="zh-CN"/>
              </w:rPr>
            </w:pPr>
          </w:p>
        </w:tc>
        <w:tc>
          <w:tcPr>
            <w:tcW w:w="3114" w:type="dxa"/>
            <w:vAlign w:val="center"/>
          </w:tcPr>
          <w:p w14:paraId="0366852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rPr>
                <w:rFonts w:hint="eastAsia" w:eastAsia="仿宋_GB2312"/>
                <w:sz w:val="24"/>
                <w:szCs w:val="24"/>
                <w:vertAlign w:val="baseline"/>
                <w:lang w:val="en-US" w:eastAsia="zh-CN"/>
              </w:rPr>
            </w:pPr>
            <w:r>
              <w:rPr>
                <w:rFonts w:hint="eastAsia"/>
                <w:sz w:val="24"/>
                <w:szCs w:val="24"/>
                <w:vertAlign w:val="baseline"/>
                <w:lang w:val="en-US" w:eastAsia="zh-CN"/>
              </w:rPr>
              <w:t>按实结算</w:t>
            </w:r>
          </w:p>
        </w:tc>
      </w:tr>
    </w:tbl>
    <w:p w14:paraId="305882D1">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四</w:t>
      </w:r>
      <w:r>
        <w:rPr>
          <w:rFonts w:hint="eastAsia" w:ascii="楷体_GB2312" w:hAnsi="楷体_GB2312" w:eastAsia="楷体_GB2312" w:cs="楷体_GB2312"/>
          <w:sz w:val="24"/>
          <w:szCs w:val="24"/>
          <w:lang w:eastAsia="zh-CN"/>
        </w:rPr>
        <w:t>）年度运维耗材及物料清单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758"/>
        <w:gridCol w:w="1904"/>
        <w:gridCol w:w="1076"/>
        <w:gridCol w:w="1137"/>
        <w:gridCol w:w="1238"/>
        <w:gridCol w:w="2391"/>
      </w:tblGrid>
      <w:tr w14:paraId="4750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A047664">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序号</w:t>
            </w:r>
          </w:p>
        </w:tc>
        <w:tc>
          <w:tcPr>
            <w:tcW w:w="0" w:type="auto"/>
            <w:vAlign w:val="center"/>
          </w:tcPr>
          <w:p w14:paraId="1977AE78">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耗材类别</w:t>
            </w:r>
          </w:p>
        </w:tc>
        <w:tc>
          <w:tcPr>
            <w:tcW w:w="0" w:type="auto"/>
            <w:vAlign w:val="center"/>
          </w:tcPr>
          <w:p w14:paraId="14551AAF">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品名</w:t>
            </w:r>
          </w:p>
        </w:tc>
        <w:tc>
          <w:tcPr>
            <w:tcW w:w="0" w:type="auto"/>
            <w:vAlign w:val="center"/>
          </w:tcPr>
          <w:p w14:paraId="214AFD3E">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年用量</w:t>
            </w:r>
          </w:p>
        </w:tc>
        <w:tc>
          <w:tcPr>
            <w:tcW w:w="0" w:type="auto"/>
            <w:vAlign w:val="center"/>
          </w:tcPr>
          <w:p w14:paraId="353A409B">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单价（元）</w:t>
            </w:r>
          </w:p>
        </w:tc>
        <w:tc>
          <w:tcPr>
            <w:tcW w:w="0" w:type="auto"/>
            <w:vAlign w:val="center"/>
          </w:tcPr>
          <w:p w14:paraId="17FA326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年总价（元）</w:t>
            </w:r>
          </w:p>
        </w:tc>
        <w:tc>
          <w:tcPr>
            <w:tcW w:w="0" w:type="auto"/>
            <w:vAlign w:val="center"/>
          </w:tcPr>
          <w:p w14:paraId="6D3DC481">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备注</w:t>
            </w:r>
          </w:p>
        </w:tc>
      </w:tr>
      <w:tr w14:paraId="5608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7"/>
            <w:vAlign w:val="center"/>
          </w:tcPr>
          <w:p w14:paraId="6A9CC12C">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sz w:val="24"/>
                <w:szCs w:val="24"/>
                <w:vertAlign w:val="baseline"/>
              </w:rPr>
            </w:pPr>
            <w:r>
              <w:rPr>
                <w:rFonts w:hint="eastAsia"/>
                <w:sz w:val="24"/>
                <w:szCs w:val="24"/>
                <w:vertAlign w:val="baseline"/>
                <w:lang w:val="en-US" w:eastAsia="zh-CN"/>
              </w:rPr>
              <w:t>一、日常运维耗材清单</w:t>
            </w:r>
          </w:p>
        </w:tc>
      </w:tr>
      <w:tr w14:paraId="2D4B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729DEBE">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1</w:t>
            </w:r>
          </w:p>
        </w:tc>
        <w:tc>
          <w:tcPr>
            <w:tcW w:w="0" w:type="auto"/>
            <w:vAlign w:val="center"/>
          </w:tcPr>
          <w:p w14:paraId="523F37C1">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道面清洁</w:t>
            </w:r>
          </w:p>
        </w:tc>
        <w:tc>
          <w:tcPr>
            <w:tcW w:w="0" w:type="auto"/>
            <w:vAlign w:val="center"/>
          </w:tcPr>
          <w:p w14:paraId="1F4190D1">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道面专用清洁剂</w:t>
            </w:r>
          </w:p>
        </w:tc>
        <w:tc>
          <w:tcPr>
            <w:tcW w:w="0" w:type="auto"/>
            <w:vAlign w:val="center"/>
          </w:tcPr>
          <w:p w14:paraId="08C0F95F">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50L</w:t>
            </w:r>
          </w:p>
        </w:tc>
        <w:tc>
          <w:tcPr>
            <w:tcW w:w="0" w:type="auto"/>
            <w:vAlign w:val="center"/>
          </w:tcPr>
          <w:p w14:paraId="691D0CDC">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66335B81">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205713A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年度2-3次集中清洁，日常由医院保洁清扫</w:t>
            </w:r>
          </w:p>
        </w:tc>
      </w:tr>
      <w:tr w14:paraId="14ED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D4D0C90">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2</w:t>
            </w:r>
          </w:p>
        </w:tc>
        <w:tc>
          <w:tcPr>
            <w:tcW w:w="0" w:type="auto"/>
            <w:vAlign w:val="center"/>
          </w:tcPr>
          <w:p w14:paraId="013865D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道面修补</w:t>
            </w:r>
          </w:p>
        </w:tc>
        <w:tc>
          <w:tcPr>
            <w:tcW w:w="0" w:type="auto"/>
            <w:vAlign w:val="center"/>
          </w:tcPr>
          <w:p w14:paraId="5FD96E51">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道面快速修补材料</w:t>
            </w:r>
          </w:p>
        </w:tc>
        <w:tc>
          <w:tcPr>
            <w:tcW w:w="0" w:type="auto"/>
            <w:vAlign w:val="center"/>
          </w:tcPr>
          <w:p w14:paraId="42D4719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20kg</w:t>
            </w:r>
          </w:p>
        </w:tc>
        <w:tc>
          <w:tcPr>
            <w:tcW w:w="0" w:type="auto"/>
            <w:vAlign w:val="center"/>
          </w:tcPr>
          <w:p w14:paraId="178B5CB8">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5B66C170">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6E783E13">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按实际需求采购，备用</w:t>
            </w:r>
          </w:p>
        </w:tc>
      </w:tr>
      <w:tr w14:paraId="25D4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52E4B25">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3</w:t>
            </w:r>
          </w:p>
        </w:tc>
        <w:tc>
          <w:tcPr>
            <w:tcW w:w="0" w:type="auto"/>
            <w:vAlign w:val="center"/>
          </w:tcPr>
          <w:p w14:paraId="673A3BD8">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标志标识</w:t>
            </w:r>
          </w:p>
        </w:tc>
        <w:tc>
          <w:tcPr>
            <w:tcW w:w="0" w:type="auto"/>
            <w:vAlign w:val="center"/>
          </w:tcPr>
          <w:p w14:paraId="646CEF3E">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机场专用标线漆</w:t>
            </w:r>
          </w:p>
        </w:tc>
        <w:tc>
          <w:tcPr>
            <w:tcW w:w="0" w:type="auto"/>
            <w:vAlign w:val="center"/>
          </w:tcPr>
          <w:p w14:paraId="32B1626A">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20kg</w:t>
            </w:r>
          </w:p>
        </w:tc>
        <w:tc>
          <w:tcPr>
            <w:tcW w:w="0" w:type="auto"/>
            <w:vAlign w:val="center"/>
          </w:tcPr>
          <w:p w14:paraId="3C51E55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2CCA21E3">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79A2C718">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褪色时补刷，约2-3年一次</w:t>
            </w:r>
          </w:p>
        </w:tc>
      </w:tr>
      <w:tr w14:paraId="32C1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7"/>
            <w:vAlign w:val="center"/>
          </w:tcPr>
          <w:p w14:paraId="37C58548">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sz w:val="24"/>
                <w:szCs w:val="24"/>
                <w:vertAlign w:val="baseline"/>
              </w:rPr>
            </w:pPr>
            <w:r>
              <w:rPr>
                <w:rFonts w:hint="eastAsia"/>
                <w:sz w:val="24"/>
                <w:szCs w:val="24"/>
                <w:vertAlign w:val="baseline"/>
                <w:lang w:val="en-US" w:eastAsia="zh-CN"/>
              </w:rPr>
              <w:t>二、助航设施耗材清单</w:t>
            </w:r>
          </w:p>
        </w:tc>
      </w:tr>
      <w:tr w14:paraId="1441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EB98FD6">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4</w:t>
            </w:r>
          </w:p>
        </w:tc>
        <w:tc>
          <w:tcPr>
            <w:tcW w:w="0" w:type="auto"/>
            <w:vAlign w:val="center"/>
          </w:tcPr>
          <w:p w14:paraId="6DE0C3BF">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eastAsia="仿宋_GB2312"/>
                <w:sz w:val="24"/>
                <w:szCs w:val="24"/>
                <w:vertAlign w:val="baseline"/>
                <w:lang w:val="en-US" w:eastAsia="zh-CN"/>
              </w:rPr>
            </w:pPr>
            <w:r>
              <w:rPr>
                <w:rFonts w:hint="eastAsia"/>
                <w:sz w:val="24"/>
                <w:szCs w:val="24"/>
                <w:vertAlign w:val="baseline"/>
                <w:lang w:val="en-US" w:eastAsia="zh-CN"/>
              </w:rPr>
              <w:t>风向标</w:t>
            </w:r>
          </w:p>
        </w:tc>
        <w:tc>
          <w:tcPr>
            <w:tcW w:w="0" w:type="auto"/>
            <w:vAlign w:val="center"/>
          </w:tcPr>
          <w:p w14:paraId="13A24033">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风向标风袋</w:t>
            </w:r>
          </w:p>
        </w:tc>
        <w:tc>
          <w:tcPr>
            <w:tcW w:w="0" w:type="auto"/>
            <w:vAlign w:val="center"/>
          </w:tcPr>
          <w:p w14:paraId="432BE680">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1个/（2年）</w:t>
            </w:r>
          </w:p>
        </w:tc>
        <w:tc>
          <w:tcPr>
            <w:tcW w:w="0" w:type="auto"/>
            <w:vAlign w:val="center"/>
          </w:tcPr>
          <w:p w14:paraId="7B4BE7C2">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61449126">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08280EC9">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老化更换，备用</w:t>
            </w:r>
          </w:p>
        </w:tc>
      </w:tr>
      <w:tr w14:paraId="066F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D7C8779">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5</w:t>
            </w:r>
          </w:p>
        </w:tc>
        <w:tc>
          <w:tcPr>
            <w:tcW w:w="0" w:type="auto"/>
            <w:vAlign w:val="center"/>
          </w:tcPr>
          <w:p w14:paraId="6FBC758F">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助航灯光</w:t>
            </w:r>
          </w:p>
        </w:tc>
        <w:tc>
          <w:tcPr>
            <w:tcW w:w="0" w:type="auto"/>
            <w:vAlign w:val="center"/>
          </w:tcPr>
          <w:p w14:paraId="528717A6">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LED助航灯配件</w:t>
            </w:r>
          </w:p>
        </w:tc>
        <w:tc>
          <w:tcPr>
            <w:tcW w:w="0" w:type="auto"/>
            <w:vAlign w:val="center"/>
          </w:tcPr>
          <w:p w14:paraId="03DA1906">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1批</w:t>
            </w:r>
          </w:p>
        </w:tc>
        <w:tc>
          <w:tcPr>
            <w:tcW w:w="0" w:type="auto"/>
            <w:vAlign w:val="center"/>
          </w:tcPr>
          <w:p w14:paraId="50D42629">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0813BA5D">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p>
        </w:tc>
        <w:tc>
          <w:tcPr>
            <w:tcW w:w="0" w:type="auto"/>
            <w:vAlign w:val="center"/>
          </w:tcPr>
          <w:p w14:paraId="75BDE0A2">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eastAsia="仿宋_GB2312"/>
                <w:sz w:val="24"/>
                <w:szCs w:val="24"/>
                <w:vertAlign w:val="baseline"/>
                <w:lang w:val="en-US" w:eastAsia="zh-CN"/>
              </w:rPr>
            </w:pPr>
            <w:r>
              <w:rPr>
                <w:rFonts w:hint="eastAsia"/>
                <w:sz w:val="24"/>
                <w:szCs w:val="24"/>
                <w:vertAlign w:val="baseline"/>
                <w:lang w:val="en-US" w:eastAsia="zh-CN"/>
              </w:rPr>
              <w:t>按需更换</w:t>
            </w:r>
          </w:p>
        </w:tc>
      </w:tr>
      <w:tr w14:paraId="0ADF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7"/>
            <w:vAlign w:val="center"/>
          </w:tcPr>
          <w:p w14:paraId="01374798">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sz w:val="24"/>
                <w:szCs w:val="24"/>
                <w:vertAlign w:val="baseline"/>
                <w:lang w:val="en-US" w:eastAsia="zh-CN"/>
              </w:rPr>
            </w:pPr>
            <w:r>
              <w:rPr>
                <w:rFonts w:hint="eastAsia"/>
                <w:sz w:val="24"/>
                <w:szCs w:val="24"/>
                <w:vertAlign w:val="baseline"/>
                <w:lang w:val="en-US" w:eastAsia="zh-CN"/>
              </w:rPr>
              <w:t>三、应急与消防耗材</w:t>
            </w:r>
          </w:p>
        </w:tc>
      </w:tr>
      <w:tr w14:paraId="1F31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0704ED8">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6</w:t>
            </w:r>
          </w:p>
        </w:tc>
        <w:tc>
          <w:tcPr>
            <w:tcW w:w="0" w:type="auto"/>
            <w:vAlign w:val="center"/>
          </w:tcPr>
          <w:p w14:paraId="49DA35F1">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消防器材</w:t>
            </w:r>
          </w:p>
        </w:tc>
        <w:tc>
          <w:tcPr>
            <w:tcW w:w="0" w:type="auto"/>
            <w:vAlign w:val="center"/>
          </w:tcPr>
          <w:p w14:paraId="3406B8B0">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灭火材料充装</w:t>
            </w:r>
          </w:p>
        </w:tc>
        <w:tc>
          <w:tcPr>
            <w:tcW w:w="0" w:type="auto"/>
            <w:vAlign w:val="center"/>
          </w:tcPr>
          <w:p w14:paraId="7210672D">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按需</w:t>
            </w:r>
          </w:p>
        </w:tc>
        <w:tc>
          <w:tcPr>
            <w:tcW w:w="0" w:type="auto"/>
            <w:vAlign w:val="center"/>
          </w:tcPr>
          <w:p w14:paraId="6435764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p>
        </w:tc>
        <w:tc>
          <w:tcPr>
            <w:tcW w:w="0" w:type="auto"/>
            <w:vAlign w:val="center"/>
          </w:tcPr>
          <w:p w14:paraId="43658EF9">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p>
        </w:tc>
        <w:tc>
          <w:tcPr>
            <w:tcW w:w="0" w:type="auto"/>
            <w:vAlign w:val="center"/>
          </w:tcPr>
          <w:p w14:paraId="118101DD">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年度监测，按需充装</w:t>
            </w:r>
          </w:p>
        </w:tc>
      </w:tr>
      <w:tr w14:paraId="2BFB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4971E6F">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7</w:t>
            </w:r>
          </w:p>
        </w:tc>
        <w:tc>
          <w:tcPr>
            <w:tcW w:w="0" w:type="auto"/>
            <w:vAlign w:val="center"/>
          </w:tcPr>
          <w:p w14:paraId="1B4BB8C6">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应急物资</w:t>
            </w:r>
          </w:p>
        </w:tc>
        <w:tc>
          <w:tcPr>
            <w:tcW w:w="0" w:type="auto"/>
            <w:vAlign w:val="center"/>
          </w:tcPr>
          <w:p w14:paraId="12D29083">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急救箱补充</w:t>
            </w:r>
          </w:p>
        </w:tc>
        <w:tc>
          <w:tcPr>
            <w:tcW w:w="0" w:type="auto"/>
            <w:vAlign w:val="center"/>
          </w:tcPr>
          <w:p w14:paraId="5B7FE1C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1套</w:t>
            </w:r>
          </w:p>
        </w:tc>
        <w:tc>
          <w:tcPr>
            <w:tcW w:w="0" w:type="auto"/>
            <w:vAlign w:val="center"/>
          </w:tcPr>
          <w:p w14:paraId="013ECDD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p>
        </w:tc>
        <w:tc>
          <w:tcPr>
            <w:tcW w:w="0" w:type="auto"/>
            <w:vAlign w:val="center"/>
          </w:tcPr>
          <w:p w14:paraId="2DB65BBB">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p>
        </w:tc>
        <w:tc>
          <w:tcPr>
            <w:tcW w:w="0" w:type="auto"/>
            <w:vAlign w:val="center"/>
          </w:tcPr>
          <w:p w14:paraId="5ED8C925">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按需补充</w:t>
            </w:r>
          </w:p>
        </w:tc>
      </w:tr>
      <w:tr w14:paraId="0E3D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7"/>
            <w:vAlign w:val="center"/>
          </w:tcPr>
          <w:p w14:paraId="53912048">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sz w:val="24"/>
                <w:szCs w:val="24"/>
                <w:vertAlign w:val="baseline"/>
                <w:lang w:val="en-US" w:eastAsia="zh-CN"/>
              </w:rPr>
            </w:pPr>
            <w:r>
              <w:rPr>
                <w:rFonts w:hint="eastAsia"/>
                <w:sz w:val="24"/>
                <w:szCs w:val="24"/>
                <w:vertAlign w:val="baseline"/>
                <w:lang w:val="en-US" w:eastAsia="zh-CN"/>
              </w:rPr>
              <w:t>四、备件耗材</w:t>
            </w:r>
          </w:p>
        </w:tc>
      </w:tr>
      <w:tr w14:paraId="346B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0" w:type="auto"/>
            <w:vAlign w:val="center"/>
          </w:tcPr>
          <w:p w14:paraId="2342BE77">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8</w:t>
            </w:r>
          </w:p>
        </w:tc>
        <w:tc>
          <w:tcPr>
            <w:tcW w:w="0" w:type="auto"/>
            <w:vAlign w:val="center"/>
          </w:tcPr>
          <w:p w14:paraId="65690935">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易损件</w:t>
            </w:r>
          </w:p>
        </w:tc>
        <w:tc>
          <w:tcPr>
            <w:tcW w:w="0" w:type="auto"/>
            <w:vAlign w:val="center"/>
          </w:tcPr>
          <w:p w14:paraId="0DEEA109">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螺丝、密封胶、绝缘胶带等辅材</w:t>
            </w:r>
          </w:p>
        </w:tc>
        <w:tc>
          <w:tcPr>
            <w:tcW w:w="0" w:type="auto"/>
            <w:vAlign w:val="center"/>
          </w:tcPr>
          <w:p w14:paraId="7B49AF4A">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1批</w:t>
            </w:r>
          </w:p>
        </w:tc>
        <w:tc>
          <w:tcPr>
            <w:tcW w:w="0" w:type="auto"/>
            <w:vAlign w:val="center"/>
          </w:tcPr>
          <w:p w14:paraId="338DE3EF">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p>
        </w:tc>
        <w:tc>
          <w:tcPr>
            <w:tcW w:w="0" w:type="auto"/>
            <w:vAlign w:val="center"/>
          </w:tcPr>
          <w:p w14:paraId="55136ACD">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p>
        </w:tc>
        <w:tc>
          <w:tcPr>
            <w:tcW w:w="0" w:type="auto"/>
            <w:vAlign w:val="center"/>
          </w:tcPr>
          <w:p w14:paraId="3C0F84F5">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sz w:val="24"/>
                <w:szCs w:val="24"/>
                <w:vertAlign w:val="baseline"/>
                <w:lang w:val="en-US" w:eastAsia="zh-CN"/>
              </w:rPr>
            </w:pPr>
            <w:r>
              <w:rPr>
                <w:rFonts w:hint="eastAsia"/>
                <w:sz w:val="24"/>
                <w:szCs w:val="24"/>
                <w:vertAlign w:val="baseline"/>
                <w:lang w:val="en-US" w:eastAsia="zh-CN"/>
              </w:rPr>
              <w:t>零星维修使用</w:t>
            </w:r>
          </w:p>
        </w:tc>
      </w:tr>
      <w:tr w14:paraId="5D89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gridSpan w:val="5"/>
            <w:vAlign w:val="center"/>
          </w:tcPr>
          <w:p w14:paraId="340C077F">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sz w:val="24"/>
                <w:szCs w:val="24"/>
                <w:vertAlign w:val="baseline"/>
                <w:lang w:val="en-US" w:eastAsia="zh-CN"/>
              </w:rPr>
            </w:pPr>
            <w:r>
              <w:rPr>
                <w:rFonts w:hint="eastAsia"/>
                <w:sz w:val="24"/>
                <w:szCs w:val="24"/>
                <w:vertAlign w:val="baseline"/>
                <w:lang w:val="en-US" w:eastAsia="zh-CN"/>
              </w:rPr>
              <w:t>年耗材成本</w:t>
            </w:r>
          </w:p>
        </w:tc>
        <w:tc>
          <w:tcPr>
            <w:tcW w:w="0" w:type="auto"/>
            <w:gridSpan w:val="2"/>
            <w:vAlign w:val="center"/>
          </w:tcPr>
          <w:p w14:paraId="1EA30F54">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sz w:val="24"/>
                <w:szCs w:val="24"/>
                <w:vertAlign w:val="baseline"/>
                <w:lang w:val="en-US" w:eastAsia="zh-CN"/>
              </w:rPr>
            </w:pPr>
          </w:p>
        </w:tc>
      </w:tr>
    </w:tbl>
    <w:p w14:paraId="429E8248">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1"/>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eastAsia" w:ascii="楷体_GB2312" w:hAnsi="楷体_GB2312" w:eastAsia="楷体_GB2312" w:cs="楷体_GB2312"/>
          <w:sz w:val="24"/>
          <w:szCs w:val="24"/>
          <w:lang w:val="en-US" w:eastAsia="zh-CN"/>
        </w:rPr>
        <w:t>五</w:t>
      </w:r>
      <w:r>
        <w:rPr>
          <w:rFonts w:hint="eastAsia" w:ascii="楷体_GB2312" w:hAnsi="楷体_GB2312" w:eastAsia="楷体_GB2312" w:cs="楷体_GB2312"/>
          <w:sz w:val="24"/>
          <w:szCs w:val="24"/>
          <w:lang w:eastAsia="zh-CN"/>
        </w:rPr>
        <w:t>）首年整改专项投入</w:t>
      </w:r>
    </w:p>
    <w:p w14:paraId="5C0E1A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首年除常态化运维成本外，需一次性投入以下整改专项费用：</w:t>
      </w:r>
    </w:p>
    <w:tbl>
      <w:tblPr>
        <w:tblStyle w:val="16"/>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3015"/>
        <w:gridCol w:w="1443"/>
        <w:gridCol w:w="3912"/>
      </w:tblGrid>
      <w:tr w14:paraId="2C3A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240912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0" w:name="_Toc5965"/>
            <w:r>
              <w:rPr>
                <w:rFonts w:hint="eastAsia"/>
                <w:sz w:val="24"/>
                <w:szCs w:val="24"/>
                <w:vertAlign w:val="baseline"/>
                <w:lang w:val="en-US" w:eastAsia="zh-CN"/>
              </w:rPr>
              <w:t>序号</w:t>
            </w:r>
            <w:bookmarkEnd w:id="0"/>
          </w:p>
        </w:tc>
        <w:tc>
          <w:tcPr>
            <w:tcW w:w="3015" w:type="dxa"/>
            <w:vAlign w:val="center"/>
          </w:tcPr>
          <w:p w14:paraId="5234EC2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default" w:eastAsia="仿宋_GB2312"/>
                <w:sz w:val="24"/>
                <w:szCs w:val="24"/>
                <w:vertAlign w:val="baseline"/>
                <w:lang w:val="en-US" w:eastAsia="zh-CN"/>
              </w:rPr>
            </w:pPr>
            <w:bookmarkStart w:id="1" w:name="_Toc20011"/>
            <w:r>
              <w:rPr>
                <w:rFonts w:hint="eastAsia"/>
                <w:sz w:val="24"/>
                <w:szCs w:val="24"/>
                <w:vertAlign w:val="baseline"/>
                <w:lang w:val="en-US" w:eastAsia="zh-CN"/>
              </w:rPr>
              <w:t>整改工作内容</w:t>
            </w:r>
            <w:bookmarkEnd w:id="1"/>
          </w:p>
        </w:tc>
        <w:tc>
          <w:tcPr>
            <w:tcW w:w="1443" w:type="dxa"/>
            <w:vAlign w:val="center"/>
          </w:tcPr>
          <w:p w14:paraId="6C6BCCE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2" w:name="_Toc332"/>
            <w:r>
              <w:rPr>
                <w:rFonts w:hint="eastAsia"/>
                <w:sz w:val="24"/>
                <w:szCs w:val="24"/>
                <w:vertAlign w:val="baseline"/>
                <w:lang w:val="en-US" w:eastAsia="zh-CN"/>
              </w:rPr>
              <w:t>预估费用</w:t>
            </w:r>
            <w:bookmarkEnd w:id="2"/>
          </w:p>
        </w:tc>
        <w:tc>
          <w:tcPr>
            <w:tcW w:w="3912" w:type="dxa"/>
            <w:vAlign w:val="center"/>
          </w:tcPr>
          <w:p w14:paraId="74F99BC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3" w:name="_Toc9958"/>
            <w:r>
              <w:rPr>
                <w:rFonts w:hint="eastAsia"/>
                <w:sz w:val="24"/>
                <w:szCs w:val="24"/>
                <w:vertAlign w:val="baseline"/>
                <w:lang w:val="en-US" w:eastAsia="zh-CN"/>
              </w:rPr>
              <w:t>备注</w:t>
            </w:r>
            <w:bookmarkEnd w:id="3"/>
          </w:p>
        </w:tc>
      </w:tr>
      <w:tr w14:paraId="4292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563709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4" w:name="_Toc26259"/>
            <w:r>
              <w:rPr>
                <w:rFonts w:hint="eastAsia"/>
                <w:sz w:val="24"/>
                <w:szCs w:val="24"/>
                <w:vertAlign w:val="baseline"/>
                <w:lang w:val="en-US" w:eastAsia="zh-CN"/>
              </w:rPr>
              <w:t>1</w:t>
            </w:r>
            <w:bookmarkEnd w:id="4"/>
          </w:p>
        </w:tc>
        <w:tc>
          <w:tcPr>
            <w:tcW w:w="3015" w:type="dxa"/>
            <w:vAlign w:val="center"/>
          </w:tcPr>
          <w:p w14:paraId="371508C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5" w:name="_Toc3533"/>
            <w:r>
              <w:rPr>
                <w:rFonts w:hint="eastAsia"/>
                <w:sz w:val="24"/>
                <w:szCs w:val="24"/>
                <w:vertAlign w:val="baseline"/>
              </w:rPr>
              <w:t>障碍物全覆盖测绘核查</w:t>
            </w:r>
            <w:bookmarkEnd w:id="5"/>
          </w:p>
        </w:tc>
        <w:tc>
          <w:tcPr>
            <w:tcW w:w="1443" w:type="dxa"/>
            <w:vAlign w:val="center"/>
          </w:tcPr>
          <w:p w14:paraId="2136C85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648BE6C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6" w:name="_Toc15948"/>
            <w:r>
              <w:rPr>
                <w:rFonts w:hint="eastAsia"/>
                <w:sz w:val="24"/>
                <w:szCs w:val="24"/>
                <w:vertAlign w:val="baseline"/>
              </w:rPr>
              <w:t>委托具有测绘资质的专业单位</w:t>
            </w:r>
            <w:bookmarkEnd w:id="6"/>
          </w:p>
        </w:tc>
      </w:tr>
      <w:tr w14:paraId="5FE9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517951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7" w:name="_Toc28541"/>
            <w:r>
              <w:rPr>
                <w:rFonts w:hint="eastAsia"/>
                <w:sz w:val="24"/>
                <w:szCs w:val="24"/>
                <w:vertAlign w:val="baseline"/>
                <w:lang w:val="en-US" w:eastAsia="zh-CN"/>
              </w:rPr>
              <w:t>2</w:t>
            </w:r>
            <w:bookmarkEnd w:id="7"/>
          </w:p>
        </w:tc>
        <w:tc>
          <w:tcPr>
            <w:tcW w:w="3015" w:type="dxa"/>
            <w:vAlign w:val="center"/>
          </w:tcPr>
          <w:p w14:paraId="76CF4D1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8" w:name="_Toc13393"/>
            <w:r>
              <w:rPr>
                <w:rFonts w:hint="eastAsia"/>
                <w:sz w:val="24"/>
                <w:szCs w:val="24"/>
                <w:vertAlign w:val="baseline"/>
              </w:rPr>
              <w:t>备案信息全面复测与修正</w:t>
            </w:r>
            <w:bookmarkEnd w:id="8"/>
          </w:p>
        </w:tc>
        <w:tc>
          <w:tcPr>
            <w:tcW w:w="1443" w:type="dxa"/>
            <w:vAlign w:val="center"/>
          </w:tcPr>
          <w:p w14:paraId="65A4C16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4D31ADA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9" w:name="_Toc15181"/>
            <w:r>
              <w:rPr>
                <w:rFonts w:hint="eastAsia"/>
                <w:sz w:val="24"/>
                <w:szCs w:val="24"/>
                <w:vertAlign w:val="baseline"/>
              </w:rPr>
              <w:t>含标高、FATO参数、障碍物数据等</w:t>
            </w:r>
            <w:bookmarkEnd w:id="9"/>
          </w:p>
        </w:tc>
      </w:tr>
      <w:tr w14:paraId="4B60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710EF5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10" w:name="_Toc18913"/>
            <w:r>
              <w:rPr>
                <w:rFonts w:hint="eastAsia"/>
                <w:sz w:val="24"/>
                <w:szCs w:val="24"/>
                <w:vertAlign w:val="baseline"/>
                <w:lang w:val="en-US" w:eastAsia="zh-CN"/>
              </w:rPr>
              <w:t>3</w:t>
            </w:r>
            <w:bookmarkEnd w:id="10"/>
          </w:p>
        </w:tc>
        <w:tc>
          <w:tcPr>
            <w:tcW w:w="3015" w:type="dxa"/>
            <w:vAlign w:val="center"/>
          </w:tcPr>
          <w:p w14:paraId="07313DF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11" w:name="_Toc1983"/>
            <w:r>
              <w:rPr>
                <w:rFonts w:hint="eastAsia"/>
                <w:sz w:val="24"/>
                <w:szCs w:val="24"/>
                <w:vertAlign w:val="baseline"/>
              </w:rPr>
              <w:t>应急预案编制、评审与备案</w:t>
            </w:r>
            <w:bookmarkEnd w:id="11"/>
          </w:p>
        </w:tc>
        <w:tc>
          <w:tcPr>
            <w:tcW w:w="1443" w:type="dxa"/>
            <w:vAlign w:val="center"/>
          </w:tcPr>
          <w:p w14:paraId="4EFDC5F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296E3F8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12" w:name="_Toc21702"/>
            <w:r>
              <w:rPr>
                <w:rFonts w:hint="eastAsia"/>
                <w:sz w:val="24"/>
                <w:szCs w:val="24"/>
                <w:vertAlign w:val="baseline"/>
              </w:rPr>
              <w:t>含民用航空器事故、通用航空事故等专项预案</w:t>
            </w:r>
            <w:bookmarkEnd w:id="12"/>
          </w:p>
        </w:tc>
      </w:tr>
      <w:tr w14:paraId="07D9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FD1B85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13" w:name="_Toc20347"/>
            <w:r>
              <w:rPr>
                <w:rFonts w:hint="eastAsia"/>
                <w:sz w:val="24"/>
                <w:szCs w:val="24"/>
                <w:vertAlign w:val="baseline"/>
                <w:lang w:val="en-US" w:eastAsia="zh-CN"/>
              </w:rPr>
              <w:t>4</w:t>
            </w:r>
            <w:bookmarkEnd w:id="13"/>
          </w:p>
        </w:tc>
        <w:tc>
          <w:tcPr>
            <w:tcW w:w="3015" w:type="dxa"/>
            <w:vAlign w:val="center"/>
          </w:tcPr>
          <w:p w14:paraId="0CB304F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14" w:name="_Toc6381"/>
            <w:r>
              <w:rPr>
                <w:rFonts w:hint="eastAsia"/>
                <w:sz w:val="24"/>
                <w:szCs w:val="24"/>
                <w:vertAlign w:val="baseline"/>
              </w:rPr>
              <w:t>安全管理制度体系汇编</w:t>
            </w:r>
            <w:bookmarkEnd w:id="14"/>
          </w:p>
        </w:tc>
        <w:tc>
          <w:tcPr>
            <w:tcW w:w="1443" w:type="dxa"/>
            <w:vAlign w:val="center"/>
          </w:tcPr>
          <w:p w14:paraId="542B4C3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5B68B95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15" w:name="_Toc13080"/>
            <w:r>
              <w:rPr>
                <w:rFonts w:hint="eastAsia"/>
                <w:sz w:val="24"/>
                <w:szCs w:val="24"/>
                <w:vertAlign w:val="baseline"/>
              </w:rPr>
              <w:t>全套制度梳理、修订、汇编</w:t>
            </w:r>
            <w:bookmarkEnd w:id="15"/>
          </w:p>
        </w:tc>
      </w:tr>
      <w:tr w14:paraId="318D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34F553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16" w:name="_Toc22399"/>
            <w:r>
              <w:rPr>
                <w:rFonts w:hint="eastAsia"/>
                <w:sz w:val="24"/>
                <w:szCs w:val="24"/>
                <w:vertAlign w:val="baseline"/>
                <w:lang w:val="en-US" w:eastAsia="zh-CN"/>
              </w:rPr>
              <w:t>5</w:t>
            </w:r>
            <w:bookmarkEnd w:id="16"/>
          </w:p>
        </w:tc>
        <w:tc>
          <w:tcPr>
            <w:tcW w:w="3015" w:type="dxa"/>
            <w:vAlign w:val="center"/>
          </w:tcPr>
          <w:p w14:paraId="4C20A9C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17" w:name="_Toc20036"/>
            <w:r>
              <w:rPr>
                <w:rFonts w:hint="eastAsia"/>
                <w:sz w:val="24"/>
                <w:szCs w:val="24"/>
                <w:vertAlign w:val="baseline"/>
              </w:rPr>
              <w:t>风向标等设施合规整改</w:t>
            </w:r>
            <w:bookmarkEnd w:id="17"/>
          </w:p>
        </w:tc>
        <w:tc>
          <w:tcPr>
            <w:tcW w:w="1443" w:type="dxa"/>
            <w:vAlign w:val="center"/>
          </w:tcPr>
          <w:p w14:paraId="6BF679C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3DBAA63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18" w:name="_Toc18423"/>
            <w:r>
              <w:rPr>
                <w:rFonts w:hint="eastAsia"/>
                <w:sz w:val="24"/>
                <w:szCs w:val="24"/>
                <w:vertAlign w:val="baseline"/>
              </w:rPr>
              <w:t>含采购、安装、验收</w:t>
            </w:r>
            <w:bookmarkEnd w:id="18"/>
          </w:p>
        </w:tc>
      </w:tr>
      <w:tr w14:paraId="28FA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78260A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19" w:name="_Toc25349"/>
            <w:r>
              <w:rPr>
                <w:rFonts w:hint="eastAsia"/>
                <w:sz w:val="24"/>
                <w:szCs w:val="24"/>
                <w:vertAlign w:val="baseline"/>
                <w:lang w:val="en-US" w:eastAsia="zh-CN"/>
              </w:rPr>
              <w:t>6</w:t>
            </w:r>
            <w:bookmarkEnd w:id="19"/>
          </w:p>
        </w:tc>
        <w:tc>
          <w:tcPr>
            <w:tcW w:w="3015" w:type="dxa"/>
            <w:vAlign w:val="center"/>
          </w:tcPr>
          <w:p w14:paraId="2261A4F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20" w:name="_Toc21205"/>
            <w:r>
              <w:rPr>
                <w:rFonts w:hint="eastAsia"/>
                <w:sz w:val="24"/>
                <w:szCs w:val="24"/>
                <w:vertAlign w:val="baseline"/>
              </w:rPr>
              <w:t>净空图纸备案与公示</w:t>
            </w:r>
            <w:bookmarkEnd w:id="20"/>
          </w:p>
        </w:tc>
        <w:tc>
          <w:tcPr>
            <w:tcW w:w="1443" w:type="dxa"/>
            <w:vAlign w:val="center"/>
          </w:tcPr>
          <w:p w14:paraId="061481D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2DA1D4E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21" w:name="_Toc29738"/>
            <w:r>
              <w:rPr>
                <w:rFonts w:hint="eastAsia"/>
                <w:sz w:val="24"/>
                <w:szCs w:val="24"/>
                <w:vertAlign w:val="baseline"/>
              </w:rPr>
              <w:t>图纸印发、报送备案等</w:t>
            </w:r>
            <w:bookmarkEnd w:id="21"/>
          </w:p>
        </w:tc>
      </w:tr>
      <w:tr w14:paraId="299D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2AE79F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eastAsia="仿宋_GB2312"/>
                <w:sz w:val="24"/>
                <w:szCs w:val="24"/>
                <w:vertAlign w:val="baseline"/>
                <w:lang w:val="en-US" w:eastAsia="zh-CN"/>
              </w:rPr>
            </w:pPr>
            <w:bookmarkStart w:id="22" w:name="_Toc25295"/>
            <w:r>
              <w:rPr>
                <w:rFonts w:hint="eastAsia"/>
                <w:sz w:val="24"/>
                <w:szCs w:val="24"/>
                <w:vertAlign w:val="baseline"/>
                <w:lang w:val="en-US" w:eastAsia="zh-CN"/>
              </w:rPr>
              <w:t>7</w:t>
            </w:r>
            <w:bookmarkEnd w:id="22"/>
          </w:p>
        </w:tc>
        <w:tc>
          <w:tcPr>
            <w:tcW w:w="3015" w:type="dxa"/>
            <w:vAlign w:val="center"/>
          </w:tcPr>
          <w:p w14:paraId="5066EB4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23" w:name="_Toc28711"/>
            <w:r>
              <w:rPr>
                <w:rFonts w:hint="eastAsia"/>
                <w:sz w:val="24"/>
                <w:szCs w:val="24"/>
                <w:vertAlign w:val="baseline"/>
              </w:rPr>
              <w:t>首轮全员专项培训</w:t>
            </w:r>
            <w:bookmarkEnd w:id="23"/>
          </w:p>
        </w:tc>
        <w:tc>
          <w:tcPr>
            <w:tcW w:w="1443" w:type="dxa"/>
            <w:vAlign w:val="center"/>
          </w:tcPr>
          <w:p w14:paraId="6B7D729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p>
        </w:tc>
        <w:tc>
          <w:tcPr>
            <w:tcW w:w="3912" w:type="dxa"/>
            <w:vAlign w:val="center"/>
          </w:tcPr>
          <w:p w14:paraId="40DAA5B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0"/>
              <w:rPr>
                <w:rFonts w:hint="eastAsia"/>
                <w:sz w:val="24"/>
                <w:szCs w:val="24"/>
                <w:vertAlign w:val="baseline"/>
              </w:rPr>
            </w:pPr>
            <w:bookmarkStart w:id="24" w:name="_Toc2231"/>
            <w:r>
              <w:rPr>
                <w:rFonts w:hint="eastAsia"/>
                <w:sz w:val="24"/>
                <w:szCs w:val="24"/>
                <w:vertAlign w:val="baseline"/>
              </w:rPr>
              <w:t>外聘专家、培训教材、考核等</w:t>
            </w:r>
            <w:bookmarkEnd w:id="24"/>
          </w:p>
        </w:tc>
      </w:tr>
      <w:tr w14:paraId="4573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5" w:type="dxa"/>
            <w:gridSpan w:val="2"/>
          </w:tcPr>
          <w:p w14:paraId="7EAA7BB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outlineLvl w:val="0"/>
              <w:rPr>
                <w:rFonts w:hint="eastAsia"/>
                <w:sz w:val="24"/>
                <w:szCs w:val="24"/>
                <w:vertAlign w:val="baseline"/>
              </w:rPr>
            </w:pPr>
            <w:bookmarkStart w:id="25" w:name="_Toc22513"/>
            <w:r>
              <w:rPr>
                <w:rFonts w:hint="eastAsia"/>
                <w:sz w:val="24"/>
                <w:szCs w:val="24"/>
                <w:vertAlign w:val="baseline"/>
              </w:rPr>
              <w:t>整改专项合计</w:t>
            </w:r>
            <w:bookmarkEnd w:id="25"/>
          </w:p>
        </w:tc>
        <w:tc>
          <w:tcPr>
            <w:tcW w:w="1443" w:type="dxa"/>
          </w:tcPr>
          <w:p w14:paraId="3722F80F">
            <w:pPr>
              <w:keepNext w:val="0"/>
              <w:keepLines w:val="0"/>
              <w:pageBreakBefore w:val="0"/>
              <w:widowControl w:val="0"/>
              <w:kinsoku/>
              <w:wordWrap/>
              <w:overflowPunct/>
              <w:topLinePunct w:val="0"/>
              <w:autoSpaceDE/>
              <w:autoSpaceDN/>
              <w:bidi w:val="0"/>
              <w:adjustRightInd/>
              <w:snapToGrid/>
              <w:ind w:left="0" w:leftChars="0" w:right="0" w:rightChars="0" w:firstLine="0" w:firstLineChars="0"/>
              <w:textAlignment w:val="auto"/>
              <w:outlineLvl w:val="0"/>
              <w:rPr>
                <w:rFonts w:hint="eastAsia"/>
                <w:sz w:val="24"/>
                <w:szCs w:val="24"/>
                <w:vertAlign w:val="baseline"/>
              </w:rPr>
            </w:pPr>
          </w:p>
        </w:tc>
        <w:tc>
          <w:tcPr>
            <w:tcW w:w="3912" w:type="dxa"/>
          </w:tcPr>
          <w:p w14:paraId="43C816B3">
            <w:pPr>
              <w:keepNext w:val="0"/>
              <w:keepLines w:val="0"/>
              <w:pageBreakBefore w:val="0"/>
              <w:widowControl w:val="0"/>
              <w:kinsoku/>
              <w:wordWrap/>
              <w:overflowPunct/>
              <w:topLinePunct w:val="0"/>
              <w:autoSpaceDE/>
              <w:autoSpaceDN/>
              <w:bidi w:val="0"/>
              <w:adjustRightInd/>
              <w:snapToGrid/>
              <w:ind w:left="0" w:leftChars="0" w:right="0" w:rightChars="0" w:firstLine="0" w:firstLineChars="0"/>
              <w:textAlignment w:val="auto"/>
              <w:outlineLvl w:val="0"/>
              <w:rPr>
                <w:rFonts w:hint="eastAsia"/>
                <w:sz w:val="24"/>
                <w:szCs w:val="24"/>
                <w:vertAlign w:val="baseline"/>
              </w:rPr>
            </w:pPr>
          </w:p>
        </w:tc>
      </w:tr>
    </w:tbl>
    <w:p w14:paraId="05FABD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p>
    <w:p w14:paraId="0EC6FB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p>
    <w:p w14:paraId="189D68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p>
    <w:p w14:paraId="593C59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p>
    <w:p w14:paraId="139C60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仿宋_GB2312"/>
          <w:sz w:val="24"/>
          <w:szCs w:val="24"/>
          <w:lang w:eastAsia="zh-CN"/>
        </w:rPr>
      </w:pPr>
      <w:r>
        <w:rPr>
          <w:rFonts w:hint="eastAsia"/>
          <w:sz w:val="24"/>
          <w:szCs w:val="24"/>
        </w:rPr>
        <w:t>梧州市工人医院</w:t>
      </w:r>
    </w:p>
    <w:p w14:paraId="696F9F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p>
    <w:p w14:paraId="1123D0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仿宋_GB2312"/>
          <w:sz w:val="24"/>
          <w:szCs w:val="24"/>
          <w:lang w:eastAsia="zh-CN"/>
        </w:rPr>
      </w:pPr>
      <w:r>
        <w:rPr>
          <w:rFonts w:hint="eastAsia"/>
          <w:sz w:val="24"/>
          <w:szCs w:val="24"/>
        </w:rPr>
        <w:t>____年____月____日</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640"/>
  <w:drawingGridVerticalSpacing w:val="15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3560B"/>
    <w:rsid w:val="03CB07E1"/>
    <w:rsid w:val="0513560B"/>
    <w:rsid w:val="057D6F2B"/>
    <w:rsid w:val="0D0837E5"/>
    <w:rsid w:val="0D6472D1"/>
    <w:rsid w:val="0DF33CF1"/>
    <w:rsid w:val="12706417"/>
    <w:rsid w:val="12CC794E"/>
    <w:rsid w:val="145108B5"/>
    <w:rsid w:val="169B66AF"/>
    <w:rsid w:val="19CA5824"/>
    <w:rsid w:val="1B6129EE"/>
    <w:rsid w:val="1B886580"/>
    <w:rsid w:val="1DFB6599"/>
    <w:rsid w:val="23614286"/>
    <w:rsid w:val="25246000"/>
    <w:rsid w:val="2A925337"/>
    <w:rsid w:val="2D4C4ADE"/>
    <w:rsid w:val="2E4B5C4B"/>
    <w:rsid w:val="303D06B3"/>
    <w:rsid w:val="34E40873"/>
    <w:rsid w:val="37ED6A73"/>
    <w:rsid w:val="415E7BFF"/>
    <w:rsid w:val="446D72CF"/>
    <w:rsid w:val="44AD5C8E"/>
    <w:rsid w:val="47C460CD"/>
    <w:rsid w:val="4B8557F3"/>
    <w:rsid w:val="4E125FF9"/>
    <w:rsid w:val="52925DE9"/>
    <w:rsid w:val="56DA5001"/>
    <w:rsid w:val="61E64C2D"/>
    <w:rsid w:val="66D02156"/>
    <w:rsid w:val="67B251AF"/>
    <w:rsid w:val="69D578ED"/>
    <w:rsid w:val="6B1751D3"/>
    <w:rsid w:val="75CD7C40"/>
    <w:rsid w:val="75F41B11"/>
    <w:rsid w:val="78E20A03"/>
    <w:rsid w:val="79C36429"/>
    <w:rsid w:val="79FA1E70"/>
    <w:rsid w:val="7AB71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sz w:val="32"/>
      <w:szCs w:val="22"/>
    </w:rPr>
  </w:style>
  <w:style w:type="paragraph" w:styleId="2">
    <w:name w:val="heading 1"/>
    <w:basedOn w:val="1"/>
    <w:next w:val="1"/>
    <w:qFormat/>
    <w:uiPriority w:val="0"/>
    <w:pPr>
      <w:keepNext/>
      <w:keepLines/>
      <w:spacing w:before="0" w:beforeLines="0" w:beforeAutospacing="0" w:after="0" w:afterLines="0" w:afterAutospacing="0" w:line="590" w:lineRule="exact"/>
      <w:ind w:firstLine="0" w:firstLineChars="0"/>
      <w:jc w:val="center"/>
      <w:outlineLvl w:val="0"/>
    </w:pPr>
    <w:rPr>
      <w:rFonts w:ascii="Times New Roman" w:hAnsi="Times New Roman" w:eastAsia="方正小标宋_GBK"/>
      <w:kern w:val="44"/>
      <w:sz w:val="44"/>
    </w:rPr>
  </w:style>
  <w:style w:type="paragraph" w:styleId="3">
    <w:name w:val="heading 2"/>
    <w:basedOn w:val="1"/>
    <w:next w:val="1"/>
    <w:semiHidden/>
    <w:unhideWhenUsed/>
    <w:qFormat/>
    <w:uiPriority w:val="0"/>
    <w:pPr>
      <w:keepNext/>
      <w:keepLines/>
      <w:spacing w:beforeLines="0" w:beforeAutospacing="0" w:afterLines="0" w:afterAutospacing="0" w:line="590" w:lineRule="exact"/>
      <w:ind w:firstLine="880" w:firstLineChars="200"/>
      <w:jc w:val="both"/>
      <w:outlineLvl w:val="1"/>
    </w:pPr>
    <w:rPr>
      <w:rFonts w:ascii="Arial" w:hAnsi="Arial" w:eastAsia="黑体" w:cs="宋体"/>
      <w:kern w:val="0"/>
      <w:sz w:val="32"/>
    </w:rPr>
  </w:style>
  <w:style w:type="paragraph" w:styleId="4">
    <w:name w:val="heading 3"/>
    <w:basedOn w:val="1"/>
    <w:next w:val="1"/>
    <w:semiHidden/>
    <w:unhideWhenUsed/>
    <w:qFormat/>
    <w:uiPriority w:val="0"/>
    <w:pPr>
      <w:keepNext/>
      <w:keepLines/>
      <w:spacing w:beforeLines="0" w:beforeAutospacing="0" w:afterLines="0" w:afterAutospacing="0" w:line="590" w:lineRule="exact"/>
      <w:ind w:firstLine="880" w:firstLineChars="200"/>
      <w:jc w:val="both"/>
      <w:outlineLvl w:val="2"/>
    </w:pPr>
    <w:rPr>
      <w:rFonts w:ascii="宋体" w:hAnsi="宋体" w:eastAsia="楷体_GB2312" w:cs="宋体"/>
      <w:kern w:val="0"/>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0"/>
    <w:pPr>
      <w:spacing w:afterLines="0" w:afterAutospacing="0"/>
    </w:pPr>
  </w:style>
  <w:style w:type="paragraph" w:styleId="7">
    <w:name w:val="Body Text Indent 2"/>
    <w:basedOn w:val="1"/>
    <w:qFormat/>
    <w:uiPriority w:val="0"/>
    <w:pPr>
      <w:spacing w:afterLines="0" w:afterAutospacing="0" w:line="590" w:lineRule="exact"/>
      <w:ind w:left="0" w:leftChars="0" w:firstLine="880" w:firstLineChars="200"/>
    </w:pPr>
    <w:rPr>
      <w:rFonts w:ascii="Times New Roman" w:hAnsi="Times New Roman"/>
    </w:rPr>
  </w:style>
  <w:style w:type="paragraph" w:styleId="8">
    <w:name w:val="toc 3"/>
    <w:basedOn w:val="1"/>
    <w:next w:val="1"/>
    <w:qFormat/>
    <w:uiPriority w:val="0"/>
    <w:pPr>
      <w:ind w:left="840" w:leftChars="400"/>
    </w:pPr>
  </w:style>
  <w:style w:type="paragraph" w:styleId="9">
    <w:name w:val="toc 1"/>
    <w:basedOn w:val="1"/>
    <w:next w:val="1"/>
    <w:qFormat/>
    <w:uiPriority w:val="0"/>
  </w:style>
  <w:style w:type="paragraph" w:styleId="10">
    <w:name w:val="toc 4"/>
    <w:basedOn w:val="1"/>
    <w:next w:val="1"/>
    <w:qFormat/>
    <w:uiPriority w:val="0"/>
    <w:pPr>
      <w:ind w:left="1260" w:leftChars="600"/>
    </w:pPr>
  </w:style>
  <w:style w:type="paragraph" w:styleId="11">
    <w:name w:val="toc 2"/>
    <w:basedOn w:val="1"/>
    <w:next w:val="1"/>
    <w:qFormat/>
    <w:uiPriority w:val="0"/>
    <w:pPr>
      <w:ind w:left="420" w:leftChars="200"/>
    </w:pPr>
  </w:style>
  <w:style w:type="paragraph" w:styleId="12">
    <w:name w:val="Normal (Web)"/>
    <w:basedOn w:val="1"/>
    <w:qFormat/>
    <w:uiPriority w:val="0"/>
    <w:rPr>
      <w:sz w:val="24"/>
    </w:rPr>
  </w:style>
  <w:style w:type="paragraph" w:styleId="1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4">
    <w:name w:val="Body Text First Indent 2"/>
    <w:basedOn w:val="7"/>
    <w:next w:val="7"/>
    <w:qFormat/>
    <w:uiPriority w:val="0"/>
    <w:pPr>
      <w:spacing w:line="590" w:lineRule="exact"/>
      <w:ind w:left="0" w:leftChars="0" w:firstLine="420" w:firstLineChars="200"/>
    </w:pPr>
    <w:rPr>
      <w:rFonts w:ascii="Times New Roman" w:hAnsi="Times New Roman"/>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8541</Words>
  <Characters>8808</Characters>
  <Lines>0</Lines>
  <Paragraphs>0</Paragraphs>
  <TotalTime>25</TotalTime>
  <ScaleCrop>false</ScaleCrop>
  <LinksUpToDate>false</LinksUpToDate>
  <CharactersWithSpaces>8808</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2026-09-03T02:23:00Z</dcterms:created>
  <dc:creator>LuviAn</dc:creator>
  <cp:lastModifiedBy>LuviAn</cp:lastModifiedBy>
  <cp:lastPrinted>2026-09-08T07:44:00Z</cp:lastPrinted>
  <dcterms:modified xsi:type="dcterms:W3CDTF">2026-09-08T08:29:02Z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9959C475DFA44E2E8F6CF52E53ECFA56_11</vt:lpwstr>
  </property>
  <property fmtid="{D5CDD505-2E9C-101B-9397-08002B2CF9AE}" pid="4" name="KSOTemplateDocerSaveRecord">
    <vt:lpwstr>eyJoZGlkIjoiZWY5MDlkMDM3MDM4OGUwZjliYjNmN2RiYmQwN2MxZWIiLCJ1c2VySWQiOiIzMzYwNjcyMTMifQ==</vt:lpwstr>
  </property>
</Properties>
</file>