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D9836">
      <w:pPr>
        <w:pStyle w:val="25"/>
        <w:keepNext/>
        <w:keepLines/>
        <w:numPr>
          <w:ilvl w:val="0"/>
          <w:numId w:val="2"/>
        </w:numPr>
        <w:spacing w:after="240" w:afterLines="100" w:line="360" w:lineRule="auto"/>
        <w:outlineLvl w:val="1"/>
        <w:rPr>
          <w:rFonts w:hint="eastAsia" w:ascii="宋体" w:hAnsi="宋体" w:eastAsia="宋体"/>
          <w:b/>
          <w:bCs/>
          <w:sz w:val="24"/>
          <w:szCs w:val="24"/>
        </w:rPr>
      </w:pPr>
      <w:bookmarkStart w:id="0" w:name="_Hlk130221285"/>
      <w:r>
        <w:rPr>
          <w:rFonts w:hint="eastAsia" w:ascii="宋体" w:hAnsi="宋体" w:eastAsia="宋体"/>
          <w:b/>
          <w:bCs/>
          <w:sz w:val="24"/>
          <w:szCs w:val="24"/>
          <w:lang w:val="en-US" w:eastAsia="zh-CN"/>
        </w:rPr>
        <w:t>合理用药功能</w:t>
      </w:r>
      <w:bookmarkStart w:id="1" w:name="_GoBack"/>
      <w:bookmarkEnd w:id="1"/>
      <w:r>
        <w:rPr>
          <w:rFonts w:hint="eastAsia" w:ascii="宋体" w:hAnsi="宋体" w:eastAsia="宋体"/>
          <w:b/>
          <w:bCs/>
          <w:sz w:val="24"/>
          <w:szCs w:val="24"/>
        </w:rPr>
        <w:t>技术参数要求</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748"/>
        <w:gridCol w:w="6033"/>
      </w:tblGrid>
      <w:tr w14:paraId="7B00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3F370C5">
            <w:pPr>
              <w:rPr>
                <w:rFonts w:hint="eastAsia" w:ascii="宋体" w:hAnsi="宋体" w:eastAsia="宋体"/>
                <w:szCs w:val="24"/>
              </w:rPr>
            </w:pPr>
            <w:r>
              <w:rPr>
                <w:rFonts w:ascii="宋体" w:hAnsi="宋体" w:eastAsia="宋体"/>
                <w:szCs w:val="24"/>
              </w:rPr>
              <w:t>序号</w:t>
            </w:r>
          </w:p>
        </w:tc>
        <w:tc>
          <w:tcPr>
            <w:tcW w:w="1748" w:type="dxa"/>
            <w:vAlign w:val="center"/>
          </w:tcPr>
          <w:p w14:paraId="3D3A292E">
            <w:pPr>
              <w:rPr>
                <w:rFonts w:hint="eastAsia" w:ascii="宋体" w:hAnsi="宋体" w:eastAsia="宋体"/>
                <w:szCs w:val="24"/>
              </w:rPr>
            </w:pPr>
            <w:r>
              <w:rPr>
                <w:rFonts w:ascii="宋体" w:hAnsi="宋体" w:eastAsia="宋体"/>
                <w:szCs w:val="24"/>
              </w:rPr>
              <w:t>子项</w:t>
            </w:r>
          </w:p>
        </w:tc>
        <w:tc>
          <w:tcPr>
            <w:tcW w:w="6033" w:type="dxa"/>
            <w:vAlign w:val="center"/>
          </w:tcPr>
          <w:p w14:paraId="7B4AADF6">
            <w:pPr>
              <w:rPr>
                <w:rFonts w:hint="eastAsia" w:ascii="宋体" w:hAnsi="宋体" w:eastAsia="宋体"/>
                <w:szCs w:val="24"/>
              </w:rPr>
            </w:pPr>
            <w:r>
              <w:rPr>
                <w:rFonts w:ascii="宋体" w:hAnsi="宋体" w:eastAsia="宋体"/>
                <w:szCs w:val="24"/>
              </w:rPr>
              <w:t>详细要求</w:t>
            </w:r>
          </w:p>
        </w:tc>
      </w:tr>
      <w:tr w14:paraId="4212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3"/>
            <w:vAlign w:val="center"/>
          </w:tcPr>
          <w:p w14:paraId="659C8E75">
            <w:pPr>
              <w:rPr>
                <w:rFonts w:hint="eastAsia" w:ascii="宋体" w:hAnsi="宋体" w:eastAsia="宋体" w:cs="Arial"/>
                <w:b/>
                <w:bCs/>
                <w:szCs w:val="24"/>
              </w:rPr>
            </w:pPr>
            <w:r>
              <w:rPr>
                <w:rFonts w:hint="eastAsia" w:ascii="宋体" w:hAnsi="宋体" w:eastAsia="宋体" w:cs="Arial"/>
                <w:b/>
                <w:bCs/>
                <w:szCs w:val="24"/>
              </w:rPr>
              <w:t>系统审查功能要求</w:t>
            </w:r>
          </w:p>
        </w:tc>
      </w:tr>
      <w:tr w14:paraId="5A85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7CFC9DD">
            <w:pPr>
              <w:pStyle w:val="25"/>
              <w:numPr>
                <w:ilvl w:val="0"/>
                <w:numId w:val="3"/>
              </w:numPr>
              <w:spacing w:line="360" w:lineRule="auto"/>
              <w:rPr>
                <w:rFonts w:hint="eastAsia" w:ascii="宋体" w:hAnsi="宋体" w:eastAsia="宋体"/>
                <w:sz w:val="24"/>
                <w:szCs w:val="24"/>
              </w:rPr>
            </w:pPr>
          </w:p>
        </w:tc>
        <w:tc>
          <w:tcPr>
            <w:tcW w:w="1748" w:type="dxa"/>
            <w:vAlign w:val="center"/>
          </w:tcPr>
          <w:p w14:paraId="097FF8A2">
            <w:pPr>
              <w:rPr>
                <w:rFonts w:hint="eastAsia" w:ascii="宋体" w:hAnsi="宋体" w:eastAsia="宋体"/>
                <w:szCs w:val="24"/>
              </w:rPr>
            </w:pPr>
            <w:r>
              <w:rPr>
                <w:rFonts w:hint="eastAsia" w:ascii="宋体" w:hAnsi="宋体" w:eastAsia="宋体"/>
                <w:szCs w:val="24"/>
              </w:rPr>
              <w:t>处方（医嘱）用药审查功能</w:t>
            </w:r>
          </w:p>
        </w:tc>
        <w:tc>
          <w:tcPr>
            <w:tcW w:w="6033" w:type="dxa"/>
            <w:vAlign w:val="center"/>
          </w:tcPr>
          <w:p w14:paraId="0D720E0F">
            <w:pPr>
              <w:widowControl/>
              <w:rPr>
                <w:rFonts w:hint="eastAsia" w:ascii="宋体" w:hAnsi="宋体" w:eastAsia="宋体" w:cs="Arial"/>
                <w:szCs w:val="24"/>
              </w:rPr>
            </w:pPr>
            <w:r>
              <w:rPr>
                <w:rFonts w:hint="eastAsia" w:ascii="宋体" w:hAnsi="宋体" w:eastAsia="宋体" w:cs="Arial"/>
                <w:szCs w:val="24"/>
              </w:rPr>
              <w:t>系统应能对处方（医嘱）用药进行剂量审查、累积剂量审查、超多日用量审查、给药途径审查、相互作用审查、体外注射剂配伍审查、配伍浓度审查、钾离子监测、TPN处方审查、门诊输液审查、禁忌症审查、不良反应审查、特殊人群（儿童、成人、老人、妊娠、哺乳、性别）用药审查、重复用药（重复成分、重复治疗）审查、适应症审查、药物过敏审查、药物检验值审查、规范性审查、医保审查、监测指标审查、越权用药审查、围术期用药审查，并提示医生。</w:t>
            </w:r>
          </w:p>
          <w:p w14:paraId="6B92198F">
            <w:pPr>
              <w:pStyle w:val="25"/>
              <w:widowControl/>
              <w:numPr>
                <w:ilvl w:val="1"/>
                <w:numId w:val="4"/>
              </w:numPr>
              <w:spacing w:line="360" w:lineRule="auto"/>
              <w:jc w:val="left"/>
              <w:rPr>
                <w:rFonts w:hint="eastAsia" w:ascii="宋体" w:hAnsi="宋体" w:eastAsia="宋体" w:cs="Arial"/>
                <w:sz w:val="24"/>
                <w:szCs w:val="24"/>
              </w:rPr>
            </w:pPr>
            <w:r>
              <w:rPr>
                <w:rFonts w:hint="eastAsia" w:ascii="宋体" w:hAnsi="宋体" w:eastAsia="宋体" w:cs="Arial"/>
                <w:sz w:val="24"/>
                <w:szCs w:val="24"/>
              </w:rPr>
              <w:t>住院医嘱支持用药天数预警，提醒医生及时调整用药方案。</w:t>
            </w:r>
          </w:p>
          <w:p w14:paraId="5EEB610F">
            <w:pPr>
              <w:pStyle w:val="25"/>
              <w:widowControl/>
              <w:numPr>
                <w:ilvl w:val="1"/>
                <w:numId w:val="4"/>
              </w:numPr>
              <w:spacing w:line="360" w:lineRule="auto"/>
              <w:jc w:val="left"/>
              <w:rPr>
                <w:rFonts w:hint="eastAsia" w:ascii="宋体" w:hAnsi="宋体" w:eastAsia="宋体" w:cs="Arial"/>
                <w:sz w:val="24"/>
                <w:szCs w:val="24"/>
              </w:rPr>
            </w:pPr>
            <w:r>
              <w:rPr>
                <w:rFonts w:hint="eastAsia" w:ascii="宋体" w:hAnsi="宋体" w:eastAsia="宋体" w:cs="Arial"/>
                <w:sz w:val="24"/>
                <w:szCs w:val="24"/>
              </w:rPr>
              <w:t>超多日用量审查可结合退费情况，管控提前取药患者药量累计持有天数。</w:t>
            </w:r>
          </w:p>
          <w:p w14:paraId="417EEDE3">
            <w:pPr>
              <w:pStyle w:val="25"/>
              <w:widowControl/>
              <w:numPr>
                <w:ilvl w:val="1"/>
                <w:numId w:val="4"/>
              </w:numPr>
              <w:spacing w:line="360" w:lineRule="auto"/>
              <w:jc w:val="left"/>
              <w:rPr>
                <w:rFonts w:hint="eastAsia" w:ascii="宋体" w:hAnsi="宋体" w:eastAsia="宋体" w:cs="Arial"/>
                <w:sz w:val="24"/>
                <w:szCs w:val="24"/>
              </w:rPr>
            </w:pPr>
            <w:r>
              <w:rPr>
                <w:rFonts w:hint="eastAsia" w:ascii="宋体" w:hAnsi="宋体" w:eastAsia="宋体" w:cs="Arial"/>
                <w:sz w:val="24"/>
                <w:szCs w:val="24"/>
              </w:rPr>
              <w:t>利用大数据分析，自动生成药品品种单次异常剂量审查规则。</w:t>
            </w:r>
          </w:p>
          <w:p w14:paraId="06F75BB0">
            <w:pPr>
              <w:pStyle w:val="25"/>
              <w:widowControl/>
              <w:numPr>
                <w:ilvl w:val="1"/>
                <w:numId w:val="4"/>
              </w:numPr>
              <w:spacing w:line="360" w:lineRule="auto"/>
              <w:jc w:val="left"/>
              <w:rPr>
                <w:rFonts w:hint="eastAsia" w:ascii="宋体" w:hAnsi="宋体" w:eastAsia="宋体" w:cs="Arial"/>
                <w:sz w:val="24"/>
                <w:szCs w:val="24"/>
              </w:rPr>
            </w:pPr>
            <w:r>
              <w:rPr>
                <w:rFonts w:hint="eastAsia" w:ascii="宋体" w:hAnsi="宋体" w:eastAsia="宋体" w:cs="Arial"/>
                <w:sz w:val="24"/>
                <w:szCs w:val="24"/>
              </w:rPr>
              <w:t>相互作用联合审查可排除已服用完毕的药品。</w:t>
            </w:r>
          </w:p>
        </w:tc>
      </w:tr>
      <w:tr w14:paraId="40C40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FBFB71A">
            <w:pPr>
              <w:pStyle w:val="25"/>
              <w:numPr>
                <w:ilvl w:val="0"/>
                <w:numId w:val="3"/>
              </w:numPr>
              <w:spacing w:line="360" w:lineRule="auto"/>
              <w:rPr>
                <w:rFonts w:hint="eastAsia" w:ascii="宋体" w:hAnsi="宋体" w:eastAsia="宋体"/>
                <w:sz w:val="24"/>
                <w:szCs w:val="24"/>
              </w:rPr>
            </w:pPr>
          </w:p>
        </w:tc>
        <w:tc>
          <w:tcPr>
            <w:tcW w:w="1748" w:type="dxa"/>
            <w:vAlign w:val="center"/>
          </w:tcPr>
          <w:p w14:paraId="38E049A5">
            <w:pPr>
              <w:rPr>
                <w:rFonts w:hint="eastAsia" w:ascii="宋体" w:hAnsi="宋体" w:eastAsia="宋体"/>
                <w:szCs w:val="24"/>
              </w:rPr>
            </w:pPr>
            <w:r>
              <w:rPr>
                <w:rFonts w:hint="eastAsia" w:ascii="宋体" w:hAnsi="宋体" w:eastAsia="宋体" w:cs="Arial"/>
                <w:szCs w:val="24"/>
              </w:rPr>
              <w:t>药品信息提示功能</w:t>
            </w:r>
          </w:p>
        </w:tc>
        <w:tc>
          <w:tcPr>
            <w:tcW w:w="6033" w:type="dxa"/>
            <w:vAlign w:val="center"/>
          </w:tcPr>
          <w:p w14:paraId="0F7619AF">
            <w:pPr>
              <w:pStyle w:val="4"/>
              <w:keepNext w:val="0"/>
              <w:keepLines w:val="0"/>
              <w:rPr>
                <w:rFonts w:hint="eastAsia" w:ascii="宋体" w:hAnsi="宋体" w:cs="Arial"/>
                <w:b w:val="0"/>
                <w:bCs w:val="0"/>
                <w:szCs w:val="24"/>
              </w:rPr>
            </w:pPr>
            <w:r>
              <w:rPr>
                <w:rFonts w:hint="eastAsia" w:ascii="宋体" w:hAnsi="宋体" w:cs="Arial"/>
                <w:b w:val="0"/>
                <w:bCs w:val="0"/>
                <w:szCs w:val="24"/>
              </w:rPr>
              <w:t>可快捷查看药品相关重要信息；药品厂家说明书，并可查看药监局发布的说明书修订勘误，修改和新增药品说明书内容；▲查询相应药品的中药材专论信息。</w:t>
            </w:r>
          </w:p>
        </w:tc>
      </w:tr>
      <w:tr w14:paraId="01020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3A5EA098">
            <w:pPr>
              <w:pStyle w:val="25"/>
              <w:numPr>
                <w:ilvl w:val="0"/>
                <w:numId w:val="3"/>
              </w:numPr>
              <w:spacing w:line="360" w:lineRule="auto"/>
              <w:rPr>
                <w:rFonts w:hint="eastAsia" w:ascii="宋体" w:hAnsi="宋体" w:eastAsia="宋体"/>
                <w:sz w:val="24"/>
                <w:szCs w:val="24"/>
              </w:rPr>
            </w:pPr>
          </w:p>
        </w:tc>
        <w:tc>
          <w:tcPr>
            <w:tcW w:w="1748" w:type="dxa"/>
            <w:vAlign w:val="center"/>
          </w:tcPr>
          <w:p w14:paraId="5B43B9F0">
            <w:pPr>
              <w:rPr>
                <w:rFonts w:hint="eastAsia" w:ascii="宋体" w:hAnsi="宋体" w:eastAsia="宋体"/>
                <w:szCs w:val="24"/>
              </w:rPr>
            </w:pPr>
            <w:r>
              <w:rPr>
                <w:rFonts w:hint="eastAsia" w:ascii="宋体" w:hAnsi="宋体" w:eastAsia="宋体" w:cs="Arial"/>
                <w:szCs w:val="24"/>
              </w:rPr>
              <w:t>质子泵抑制药专项管控</w:t>
            </w:r>
          </w:p>
        </w:tc>
        <w:tc>
          <w:tcPr>
            <w:tcW w:w="6033" w:type="dxa"/>
            <w:vAlign w:val="center"/>
          </w:tcPr>
          <w:p w14:paraId="50411A68">
            <w:pPr>
              <w:pStyle w:val="4"/>
              <w:numPr>
                <w:ilvl w:val="0"/>
                <w:numId w:val="5"/>
              </w:numPr>
              <w:ind w:left="0"/>
              <w:rPr>
                <w:rFonts w:hint="eastAsia" w:ascii="宋体" w:hAnsi="宋体" w:cs="Arial"/>
                <w:b w:val="0"/>
                <w:szCs w:val="24"/>
              </w:rPr>
            </w:pPr>
            <w:r>
              <w:rPr>
                <w:rFonts w:hint="eastAsia" w:ascii="宋体" w:hAnsi="宋体" w:cs="Arial"/>
                <w:b w:val="0"/>
                <w:bCs w:val="0"/>
                <w:szCs w:val="24"/>
              </w:rPr>
              <w:t>▲</w:t>
            </w:r>
            <w:r>
              <w:rPr>
                <w:rFonts w:hint="eastAsia" w:ascii="宋体" w:hAnsi="宋体" w:cs="Arial"/>
                <w:b w:val="0"/>
                <w:szCs w:val="24"/>
              </w:rPr>
              <w:t>医生开具质子泵抑制剂药品时，需填写用药评估单。提供评估单专项统计分析。</w:t>
            </w:r>
          </w:p>
          <w:p w14:paraId="6C9EE909">
            <w:pPr>
              <w:pStyle w:val="4"/>
              <w:numPr>
                <w:ilvl w:val="0"/>
                <w:numId w:val="5"/>
              </w:numPr>
              <w:ind w:left="0"/>
              <w:rPr>
                <w:rFonts w:hint="eastAsia" w:ascii="宋体" w:hAnsi="宋体" w:cs="Arial"/>
                <w:b w:val="0"/>
                <w:szCs w:val="24"/>
              </w:rPr>
            </w:pPr>
            <w:r>
              <w:rPr>
                <w:rFonts w:hint="eastAsia" w:ascii="宋体" w:hAnsi="宋体" w:cs="Arial"/>
                <w:b w:val="0"/>
                <w:bCs w:val="0"/>
                <w:szCs w:val="24"/>
              </w:rPr>
              <w:t>▲</w:t>
            </w:r>
            <w:r>
              <w:rPr>
                <w:rFonts w:hint="eastAsia" w:ascii="宋体" w:hAnsi="宋体" w:cs="Arial"/>
                <w:b w:val="0"/>
                <w:szCs w:val="24"/>
              </w:rPr>
              <w:t>系统可评估患者病生状态，若存在应激性溃疡风险，提供质子泵抑制剂用药建议。</w:t>
            </w:r>
          </w:p>
          <w:p w14:paraId="275EF5A2">
            <w:pPr>
              <w:pStyle w:val="4"/>
              <w:numPr>
                <w:ilvl w:val="0"/>
                <w:numId w:val="5"/>
              </w:numPr>
              <w:ind w:left="0"/>
              <w:rPr>
                <w:rFonts w:hint="eastAsia" w:ascii="宋体" w:hAnsi="宋体"/>
                <w:szCs w:val="24"/>
              </w:rPr>
            </w:pPr>
            <w:r>
              <w:rPr>
                <w:rFonts w:hint="eastAsia" w:ascii="宋体" w:hAnsi="宋体" w:cs="Arial"/>
                <w:b w:val="0"/>
                <w:szCs w:val="24"/>
              </w:rPr>
              <w:t>围术期不合理使用质子泵抑制剂时，系统可警示医生。</w:t>
            </w:r>
          </w:p>
        </w:tc>
      </w:tr>
      <w:tr w14:paraId="6BA2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61EBFA6">
            <w:pPr>
              <w:pStyle w:val="25"/>
              <w:numPr>
                <w:ilvl w:val="0"/>
                <w:numId w:val="3"/>
              </w:numPr>
              <w:spacing w:line="360" w:lineRule="auto"/>
              <w:rPr>
                <w:rFonts w:hint="eastAsia" w:ascii="宋体" w:hAnsi="宋体" w:eastAsia="宋体"/>
                <w:sz w:val="24"/>
                <w:szCs w:val="24"/>
              </w:rPr>
            </w:pPr>
          </w:p>
        </w:tc>
        <w:tc>
          <w:tcPr>
            <w:tcW w:w="1748" w:type="dxa"/>
            <w:vAlign w:val="center"/>
          </w:tcPr>
          <w:p w14:paraId="24AB2DEE">
            <w:pPr>
              <w:rPr>
                <w:rFonts w:hint="eastAsia" w:ascii="宋体" w:hAnsi="宋体" w:eastAsia="宋体" w:cs="Arial"/>
                <w:szCs w:val="24"/>
              </w:rPr>
            </w:pPr>
            <w:r>
              <w:rPr>
                <w:rFonts w:hint="eastAsia" w:ascii="宋体" w:hAnsi="宋体" w:eastAsia="宋体" w:cs="Arial"/>
                <w:szCs w:val="24"/>
              </w:rPr>
              <w:t>协定方专项管控</w:t>
            </w:r>
          </w:p>
        </w:tc>
        <w:tc>
          <w:tcPr>
            <w:tcW w:w="6033" w:type="dxa"/>
            <w:vAlign w:val="center"/>
          </w:tcPr>
          <w:p w14:paraId="560DD49B">
            <w:pPr>
              <w:pStyle w:val="4"/>
              <w:rPr>
                <w:rFonts w:hint="eastAsia" w:ascii="宋体" w:hAnsi="宋体" w:cs="Arial"/>
                <w:b w:val="0"/>
                <w:bCs w:val="0"/>
                <w:szCs w:val="24"/>
              </w:rPr>
            </w:pPr>
            <w:r>
              <w:rPr>
                <w:rFonts w:hint="eastAsia" w:ascii="宋体" w:hAnsi="宋体" w:cs="Arial"/>
                <w:b w:val="0"/>
                <w:bCs w:val="0"/>
                <w:szCs w:val="24"/>
              </w:rPr>
              <w:t>系统提供医院中药协定方证型适宜性审查。</w:t>
            </w:r>
          </w:p>
        </w:tc>
      </w:tr>
      <w:tr w14:paraId="4DFC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48A42C04">
            <w:pPr>
              <w:pStyle w:val="25"/>
              <w:numPr>
                <w:ilvl w:val="0"/>
                <w:numId w:val="3"/>
              </w:numPr>
              <w:spacing w:line="360" w:lineRule="auto"/>
              <w:rPr>
                <w:rFonts w:hint="eastAsia" w:ascii="宋体" w:hAnsi="宋体" w:eastAsia="宋体"/>
                <w:sz w:val="24"/>
                <w:szCs w:val="24"/>
              </w:rPr>
            </w:pPr>
          </w:p>
        </w:tc>
        <w:tc>
          <w:tcPr>
            <w:tcW w:w="1748" w:type="dxa"/>
            <w:vAlign w:val="center"/>
          </w:tcPr>
          <w:p w14:paraId="5D395EA8">
            <w:pPr>
              <w:rPr>
                <w:rFonts w:hint="eastAsia" w:ascii="宋体" w:hAnsi="宋体" w:eastAsia="宋体"/>
                <w:szCs w:val="24"/>
              </w:rPr>
            </w:pPr>
            <w:r>
              <w:rPr>
                <w:rFonts w:hint="eastAsia" w:ascii="宋体" w:hAnsi="宋体" w:eastAsia="宋体"/>
                <w:szCs w:val="24"/>
              </w:rPr>
              <w:t>经验性用药专项管控</w:t>
            </w:r>
          </w:p>
        </w:tc>
        <w:tc>
          <w:tcPr>
            <w:tcW w:w="6033" w:type="dxa"/>
            <w:vAlign w:val="center"/>
          </w:tcPr>
          <w:p w14:paraId="7CF13EA0">
            <w:pPr>
              <w:pStyle w:val="4"/>
              <w:rPr>
                <w:rFonts w:hint="eastAsia" w:ascii="宋体" w:hAnsi="宋体" w:cs="Arial"/>
                <w:b w:val="0"/>
                <w:szCs w:val="24"/>
              </w:rPr>
            </w:pPr>
            <w:r>
              <w:rPr>
                <w:rFonts w:hint="eastAsia" w:ascii="宋体" w:hAnsi="宋体" w:cs="Arial"/>
                <w:b w:val="0"/>
                <w:szCs w:val="24"/>
              </w:rPr>
              <w:t>系统提供抗肿瘤药物过敏反应预处理用药合理性审查。</w:t>
            </w:r>
          </w:p>
        </w:tc>
      </w:tr>
      <w:tr w14:paraId="50875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9E27320">
            <w:pPr>
              <w:pStyle w:val="25"/>
              <w:numPr>
                <w:ilvl w:val="0"/>
                <w:numId w:val="3"/>
              </w:numPr>
              <w:spacing w:line="360" w:lineRule="auto"/>
              <w:rPr>
                <w:rFonts w:hint="eastAsia" w:ascii="宋体" w:hAnsi="宋体" w:eastAsia="宋体"/>
                <w:sz w:val="24"/>
                <w:szCs w:val="24"/>
              </w:rPr>
            </w:pPr>
          </w:p>
        </w:tc>
        <w:tc>
          <w:tcPr>
            <w:tcW w:w="1748" w:type="dxa"/>
            <w:vAlign w:val="center"/>
          </w:tcPr>
          <w:p w14:paraId="2F6773E2">
            <w:pPr>
              <w:rPr>
                <w:rFonts w:hint="eastAsia" w:ascii="宋体" w:hAnsi="宋体" w:eastAsia="宋体"/>
                <w:szCs w:val="24"/>
              </w:rPr>
            </w:pPr>
            <w:r>
              <w:rPr>
                <w:rFonts w:hint="eastAsia" w:ascii="宋体" w:hAnsi="宋体" w:eastAsia="宋体"/>
                <w:szCs w:val="24"/>
              </w:rPr>
              <w:t>抗菌药物专项管控</w:t>
            </w:r>
          </w:p>
        </w:tc>
        <w:tc>
          <w:tcPr>
            <w:tcW w:w="6033" w:type="dxa"/>
            <w:vAlign w:val="center"/>
          </w:tcPr>
          <w:p w14:paraId="2ED5761A">
            <w:pPr>
              <w:pStyle w:val="25"/>
              <w:numPr>
                <w:ilvl w:val="0"/>
                <w:numId w:val="6"/>
              </w:numPr>
              <w:spacing w:line="360" w:lineRule="auto"/>
              <w:ind w:left="0" w:firstLine="0"/>
              <w:jc w:val="left"/>
              <w:rPr>
                <w:rFonts w:hint="eastAsia" w:ascii="宋体" w:hAnsi="宋体" w:eastAsia="宋体"/>
                <w:sz w:val="24"/>
                <w:szCs w:val="24"/>
              </w:rPr>
            </w:pPr>
            <w:r>
              <w:rPr>
                <w:rFonts w:hint="eastAsia" w:ascii="宋体" w:hAnsi="宋体" w:eastAsia="宋体"/>
                <w:sz w:val="24"/>
                <w:szCs w:val="24"/>
              </w:rPr>
              <w:t>医生开具预防用抗菌药物时，需填写用药评估单，评估单区分非手术预防用药和手术预防用药。</w:t>
            </w:r>
          </w:p>
          <w:p w14:paraId="4E20847C">
            <w:pPr>
              <w:pStyle w:val="25"/>
              <w:numPr>
                <w:ilvl w:val="0"/>
                <w:numId w:val="6"/>
              </w:numPr>
              <w:spacing w:line="360" w:lineRule="auto"/>
              <w:ind w:left="0" w:firstLine="0"/>
              <w:jc w:val="left"/>
              <w:rPr>
                <w:rFonts w:hint="eastAsia" w:ascii="宋体" w:hAnsi="宋体" w:eastAsia="宋体"/>
                <w:b/>
                <w:sz w:val="24"/>
                <w:szCs w:val="24"/>
              </w:rPr>
            </w:pPr>
            <w:r>
              <w:rPr>
                <w:rFonts w:hint="eastAsia" w:ascii="宋体" w:hAnsi="宋体" w:eastAsia="宋体"/>
                <w:sz w:val="24"/>
                <w:szCs w:val="24"/>
              </w:rPr>
              <w:t>系统提供抗菌药物用药指征审查。医生开具抗菌药物必须有用药指征，否则系统将予以警示。</w:t>
            </w:r>
          </w:p>
        </w:tc>
      </w:tr>
      <w:tr w14:paraId="04CF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A2CAB23">
            <w:pPr>
              <w:pStyle w:val="25"/>
              <w:numPr>
                <w:ilvl w:val="0"/>
                <w:numId w:val="3"/>
              </w:numPr>
              <w:spacing w:line="360" w:lineRule="auto"/>
              <w:rPr>
                <w:rFonts w:hint="eastAsia" w:ascii="宋体" w:hAnsi="宋体" w:eastAsia="宋体"/>
                <w:sz w:val="24"/>
                <w:szCs w:val="24"/>
              </w:rPr>
            </w:pPr>
          </w:p>
        </w:tc>
        <w:tc>
          <w:tcPr>
            <w:tcW w:w="1748" w:type="dxa"/>
            <w:vAlign w:val="center"/>
          </w:tcPr>
          <w:p w14:paraId="1EAE5621">
            <w:pPr>
              <w:rPr>
                <w:rFonts w:hint="eastAsia" w:ascii="宋体" w:hAnsi="宋体" w:eastAsia="宋体"/>
                <w:szCs w:val="24"/>
              </w:rPr>
            </w:pPr>
            <w:r>
              <w:rPr>
                <w:rFonts w:hint="eastAsia" w:ascii="宋体" w:hAnsi="宋体" w:eastAsia="宋体"/>
                <w:szCs w:val="24"/>
              </w:rPr>
              <w:t>审查提示屏蔽功能</w:t>
            </w:r>
          </w:p>
        </w:tc>
        <w:tc>
          <w:tcPr>
            <w:tcW w:w="6033" w:type="dxa"/>
            <w:vAlign w:val="center"/>
          </w:tcPr>
          <w:p w14:paraId="212ADF92">
            <w:pPr>
              <w:rPr>
                <w:rFonts w:hint="eastAsia" w:ascii="宋体" w:hAnsi="宋体" w:eastAsia="宋体" w:cs="Arial"/>
                <w:bCs/>
                <w:szCs w:val="24"/>
              </w:rPr>
            </w:pPr>
            <w:r>
              <w:rPr>
                <w:rFonts w:hint="eastAsia" w:ascii="宋体" w:hAnsi="宋体" w:eastAsia="宋体" w:cs="Arial"/>
                <w:bCs/>
                <w:szCs w:val="24"/>
              </w:rPr>
              <w:t>▲系统应能对剂量、给药途径、药物相互作用、体外注射剂配伍、配伍浓度、禁忌症、不良反应、儿童用药、老人用药、成人用药、性别用药、妊娠期用药、哺乳期用药、药物过敏、重复用药等审查项目进行审查提示屏蔽，支持分门诊、住院、急诊屏蔽，屏蔽后不再对相同问题进行提示。</w:t>
            </w:r>
          </w:p>
        </w:tc>
      </w:tr>
      <w:tr w14:paraId="23AB7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CEB7DFF">
            <w:pPr>
              <w:pStyle w:val="25"/>
              <w:numPr>
                <w:ilvl w:val="0"/>
                <w:numId w:val="3"/>
              </w:numPr>
              <w:spacing w:line="360" w:lineRule="auto"/>
              <w:rPr>
                <w:rFonts w:hint="eastAsia" w:ascii="宋体" w:hAnsi="宋体" w:eastAsia="宋体"/>
                <w:sz w:val="24"/>
                <w:szCs w:val="24"/>
              </w:rPr>
            </w:pPr>
          </w:p>
        </w:tc>
        <w:tc>
          <w:tcPr>
            <w:tcW w:w="1748" w:type="dxa"/>
            <w:vAlign w:val="center"/>
          </w:tcPr>
          <w:p w14:paraId="614D5A61">
            <w:pPr>
              <w:rPr>
                <w:rFonts w:hint="eastAsia" w:ascii="宋体" w:hAnsi="宋体" w:eastAsia="宋体"/>
                <w:szCs w:val="24"/>
              </w:rPr>
            </w:pPr>
            <w:r>
              <w:rPr>
                <w:rFonts w:hint="eastAsia" w:ascii="宋体" w:hAnsi="宋体" w:eastAsia="宋体"/>
                <w:szCs w:val="24"/>
              </w:rPr>
              <w:t>审查规则自定义功能（医院专家知识库）</w:t>
            </w:r>
          </w:p>
        </w:tc>
        <w:tc>
          <w:tcPr>
            <w:tcW w:w="6033" w:type="dxa"/>
            <w:vAlign w:val="center"/>
          </w:tcPr>
          <w:p w14:paraId="6F9124A9">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▲系统可以提供多种自定义方式：</w:t>
            </w:r>
          </w:p>
          <w:p w14:paraId="2E38570A">
            <w:pPr>
              <w:rPr>
                <w:rFonts w:hint="eastAsia" w:ascii="宋体" w:hAnsi="宋体" w:eastAsia="宋体" w:cs="Arial"/>
                <w:bCs/>
                <w:szCs w:val="24"/>
              </w:rPr>
            </w:pPr>
            <w:r>
              <w:rPr>
                <w:rFonts w:hint="eastAsia" w:ascii="宋体" w:hAnsi="宋体" w:eastAsia="宋体" w:cs="Arial"/>
                <w:bCs/>
                <w:szCs w:val="24"/>
              </w:rPr>
              <w:t>（1）基于系统审查数据自定义方式，节省药师工作量；</w:t>
            </w:r>
          </w:p>
          <w:p w14:paraId="426FE6FC">
            <w:pPr>
              <w:rPr>
                <w:rFonts w:hint="eastAsia" w:ascii="宋体" w:hAnsi="宋体" w:eastAsia="宋体" w:cs="Arial"/>
                <w:bCs/>
                <w:szCs w:val="24"/>
              </w:rPr>
            </w:pPr>
            <w:r>
              <w:rPr>
                <w:rFonts w:hint="eastAsia" w:ascii="宋体" w:hAnsi="宋体" w:eastAsia="宋体" w:cs="Arial"/>
                <w:bCs/>
                <w:szCs w:val="24"/>
              </w:rPr>
              <w:t>（2）可完全由用户新建审查规则包括审查要素和审查逻辑。</w:t>
            </w:r>
          </w:p>
          <w:p w14:paraId="59FD2EE8">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用户可自定义药品警示、拦截规则，被拦截的问题处方必须返回修改，否则不可进行下一步操作。用户可设置已执行的长期医嘱是否拦截。</w:t>
            </w:r>
          </w:p>
          <w:p w14:paraId="60FD608F">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其中部分审查项目可支持以下功能：</w:t>
            </w:r>
          </w:p>
          <w:p w14:paraId="736E2576">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剂量：可显示某个药品在本院近一个月医嘱用量统计，查看不同科室的剂量使用情况。用户只需维护药品一种给药单位的剂量审查规则，系统可自动将规则匹配到该药品其余给药单位。</w:t>
            </w:r>
          </w:p>
          <w:p w14:paraId="63A02610">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超多日用量：可对门、急诊处方药品、麻醉药品和精一药品超多日用量天数进行设置，可针对慢病（区分医保、自费）、非慢病处方、特殊患者分别设置用药天数，并可根据超出天数设置不同的警示级别。用户可维护参与联合审查的历史处方时间范围。针对特定药品可设置是否拆零参与审查。</w:t>
            </w:r>
          </w:p>
          <w:p w14:paraId="11E119F1">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体外注射剂配伍：可设置小剂量胰岛素不参与体外配伍审查，具体剂量标准可由用户自行设置。</w:t>
            </w:r>
          </w:p>
          <w:p w14:paraId="6CB91DDD">
            <w:pPr>
              <w:pStyle w:val="25"/>
              <w:numPr>
                <w:ilvl w:val="0"/>
                <w:numId w:val="8"/>
              </w:numPr>
              <w:spacing w:line="360" w:lineRule="auto"/>
              <w:rPr>
                <w:rFonts w:hint="eastAsia" w:ascii="宋体" w:hAnsi="宋体" w:eastAsia="宋体" w:cs="Arial"/>
                <w:bCs/>
                <w:sz w:val="24"/>
                <w:szCs w:val="24"/>
              </w:rPr>
            </w:pPr>
            <w:r>
              <w:rPr>
                <w:rFonts w:hint="eastAsia" w:ascii="宋体" w:hAnsi="宋体" w:eastAsia="宋体" w:cs="Arial"/>
                <w:bCs/>
                <w:sz w:val="24"/>
                <w:szCs w:val="24"/>
              </w:rPr>
              <w:t>妊娠用药：提供多元化妊娠状态判断方式，可设置妊娠状态判断优先级。</w:t>
            </w:r>
          </w:p>
          <w:p w14:paraId="03ACFC22">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▲可设置应激性溃疡风险的预警规则；设置可预防使用质子泵抑制剂的手术、质子泵抑制剂药品及术后质子泵抑制剂用药疗程；</w:t>
            </w:r>
          </w:p>
          <w:p w14:paraId="1E516611">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用户可维护医院协定方及对应证型；</w:t>
            </w:r>
          </w:p>
          <w:p w14:paraId="33C5591E">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用户可设置抗肿瘤药物过敏反应预防药品品种。</w:t>
            </w:r>
          </w:p>
          <w:p w14:paraId="34F89D8E">
            <w:pPr>
              <w:pStyle w:val="25"/>
              <w:numPr>
                <w:ilvl w:val="0"/>
                <w:numId w:val="8"/>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用户可设置质子泵抑制药、抗菌药物用药评估单模板。</w:t>
            </w:r>
          </w:p>
          <w:p w14:paraId="40C11944">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规则复制功能：系统支持将其它药品已有的自定义规则分模块复制到被选择的药品上。</w:t>
            </w:r>
          </w:p>
          <w:p w14:paraId="4AF326E3">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▲豁免对象：可根据药品、医生、科室、患者年龄、手术信息、医嘱备注等条件设置特定对象不参与某些模块审查，并可按照模块查看对各种豁免情况的统计。</w:t>
            </w:r>
          </w:p>
          <w:p w14:paraId="6D279C7E">
            <w:pPr>
              <w:pStyle w:val="25"/>
              <w:numPr>
                <w:ilvl w:val="0"/>
                <w:numId w:val="7"/>
              </w:numPr>
              <w:spacing w:line="360" w:lineRule="auto"/>
              <w:jc w:val="left"/>
              <w:rPr>
                <w:rFonts w:hint="eastAsia" w:ascii="宋体" w:hAnsi="宋体" w:eastAsia="宋体" w:cs="Arial"/>
                <w:bCs/>
                <w:sz w:val="24"/>
                <w:szCs w:val="24"/>
              </w:rPr>
            </w:pPr>
            <w:r>
              <w:rPr>
                <w:rFonts w:hint="eastAsia" w:ascii="宋体" w:hAnsi="宋体" w:eastAsia="宋体" w:cs="Arial"/>
                <w:bCs/>
                <w:sz w:val="24"/>
                <w:szCs w:val="24"/>
              </w:rPr>
              <w:t xml:space="preserve">自定义规则查询：可查询药品、科室以及各模块的自定义规则。 </w:t>
            </w:r>
          </w:p>
        </w:tc>
      </w:tr>
      <w:tr w14:paraId="0A1E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4592544">
            <w:pPr>
              <w:pStyle w:val="25"/>
              <w:numPr>
                <w:ilvl w:val="0"/>
                <w:numId w:val="3"/>
              </w:numPr>
              <w:spacing w:line="360" w:lineRule="auto"/>
              <w:rPr>
                <w:rFonts w:hint="eastAsia" w:ascii="宋体" w:hAnsi="宋体" w:eastAsia="宋体"/>
                <w:sz w:val="24"/>
                <w:szCs w:val="24"/>
              </w:rPr>
            </w:pPr>
          </w:p>
        </w:tc>
        <w:tc>
          <w:tcPr>
            <w:tcW w:w="1748" w:type="dxa"/>
            <w:vAlign w:val="center"/>
          </w:tcPr>
          <w:p w14:paraId="6AF74E35">
            <w:pPr>
              <w:rPr>
                <w:rFonts w:hint="eastAsia" w:ascii="宋体" w:hAnsi="宋体" w:eastAsia="宋体"/>
                <w:szCs w:val="24"/>
              </w:rPr>
            </w:pPr>
            <w:r>
              <w:rPr>
                <w:rFonts w:hint="eastAsia" w:ascii="宋体" w:hAnsi="宋体" w:eastAsia="宋体"/>
                <w:szCs w:val="24"/>
              </w:rPr>
              <w:t>统计分析功能</w:t>
            </w:r>
          </w:p>
        </w:tc>
        <w:tc>
          <w:tcPr>
            <w:tcW w:w="6033" w:type="dxa"/>
            <w:vAlign w:val="center"/>
          </w:tcPr>
          <w:p w14:paraId="2C804369">
            <w:pPr>
              <w:pStyle w:val="25"/>
              <w:numPr>
                <w:ilvl w:val="0"/>
                <w:numId w:val="9"/>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问题处方（医嘱）保存、查询，以及不合理问题统计分析。</w:t>
            </w:r>
          </w:p>
          <w:p w14:paraId="4FA6EC3C">
            <w:pPr>
              <w:pStyle w:val="25"/>
              <w:numPr>
                <w:ilvl w:val="0"/>
                <w:numId w:val="9"/>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提供不合理问题评估功能，便于药师在做回顾性分析时对已评估的问题做记录。</w:t>
            </w:r>
          </w:p>
          <w:p w14:paraId="51C19283">
            <w:pPr>
              <w:pStyle w:val="25"/>
              <w:numPr>
                <w:ilvl w:val="0"/>
                <w:numId w:val="9"/>
              </w:numPr>
              <w:spacing w:line="360" w:lineRule="auto"/>
              <w:ind w:left="0" w:firstLine="0"/>
              <w:jc w:val="left"/>
              <w:rPr>
                <w:rFonts w:hint="eastAsia" w:ascii="宋体" w:hAnsi="宋体" w:eastAsia="宋体" w:cs="Arial"/>
                <w:bCs/>
                <w:sz w:val="24"/>
                <w:szCs w:val="24"/>
              </w:rPr>
            </w:pPr>
            <w:r>
              <w:rPr>
                <w:rFonts w:hint="eastAsia" w:ascii="宋体" w:hAnsi="宋体" w:eastAsia="宋体" w:cs="Arial"/>
                <w:bCs/>
                <w:sz w:val="24"/>
                <w:szCs w:val="24"/>
              </w:rPr>
              <w:t>用药理由统计</w:t>
            </w:r>
          </w:p>
        </w:tc>
      </w:tr>
      <w:tr w14:paraId="33C9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04D9A7E">
            <w:pPr>
              <w:pStyle w:val="25"/>
              <w:numPr>
                <w:ilvl w:val="0"/>
                <w:numId w:val="3"/>
              </w:numPr>
              <w:spacing w:line="360" w:lineRule="auto"/>
              <w:rPr>
                <w:rFonts w:hint="eastAsia" w:ascii="宋体" w:hAnsi="宋体" w:eastAsia="宋体"/>
                <w:sz w:val="24"/>
                <w:szCs w:val="24"/>
              </w:rPr>
            </w:pPr>
          </w:p>
        </w:tc>
        <w:tc>
          <w:tcPr>
            <w:tcW w:w="1748" w:type="dxa"/>
            <w:vAlign w:val="center"/>
          </w:tcPr>
          <w:p w14:paraId="4C2CC2BE">
            <w:pPr>
              <w:rPr>
                <w:rFonts w:hint="eastAsia" w:ascii="宋体" w:hAnsi="宋体" w:eastAsia="宋体"/>
                <w:szCs w:val="24"/>
              </w:rPr>
            </w:pPr>
            <w:r>
              <w:rPr>
                <w:rFonts w:hint="eastAsia" w:ascii="宋体" w:hAnsi="宋体" w:eastAsia="宋体"/>
                <w:szCs w:val="24"/>
              </w:rPr>
              <w:t>通讯功能</w:t>
            </w:r>
          </w:p>
        </w:tc>
        <w:tc>
          <w:tcPr>
            <w:tcW w:w="6033" w:type="dxa"/>
            <w:vAlign w:val="center"/>
          </w:tcPr>
          <w:p w14:paraId="6C37CD3C">
            <w:pPr>
              <w:pStyle w:val="5"/>
              <w:rPr>
                <w:rFonts w:hint="eastAsia" w:ascii="宋体" w:hAnsi="宋体" w:cs="Arial"/>
                <w:b w:val="0"/>
                <w:bCs w:val="0"/>
                <w:szCs w:val="24"/>
              </w:rPr>
            </w:pPr>
            <w:r>
              <w:rPr>
                <w:rFonts w:hint="eastAsia" w:ascii="宋体" w:hAnsi="宋体" w:cs="Arial"/>
                <w:b w:val="0"/>
                <w:bCs w:val="0"/>
                <w:szCs w:val="24"/>
              </w:rPr>
              <w:t>系统应提供药师和医生的在线沟通平台，提供截图、发送图片、文件传输、消息撤回、消息已读提示功能。</w:t>
            </w:r>
          </w:p>
        </w:tc>
      </w:tr>
    </w:tbl>
    <w:p w14:paraId="7E439894">
      <w:pPr>
        <w:rPr>
          <w:rFonts w:hint="eastAsia" w:ascii="宋体" w:hAnsi="宋体" w:eastAsia="宋体"/>
          <w:szCs w:val="24"/>
        </w:rPr>
      </w:pPr>
    </w:p>
    <w:p w14:paraId="1F98E7F2">
      <w:pPr>
        <w:rPr>
          <w:rFonts w:hint="eastAsia" w:ascii="宋体" w:hAnsi="宋体" w:eastAsia="宋体"/>
          <w:szCs w:val="24"/>
        </w:rPr>
      </w:pPr>
    </w:p>
    <w:p w14:paraId="5C247F04">
      <w:pPr>
        <w:pStyle w:val="25"/>
        <w:keepNext/>
        <w:keepLines/>
        <w:numPr>
          <w:ilvl w:val="0"/>
          <w:numId w:val="2"/>
        </w:numPr>
        <w:spacing w:after="240" w:afterLines="100" w:line="360" w:lineRule="auto"/>
        <w:outlineLvl w:val="1"/>
        <w:rPr>
          <w:rFonts w:hint="eastAsia" w:ascii="宋体" w:hAnsi="宋体" w:eastAsia="宋体"/>
          <w:b/>
          <w:bCs/>
          <w:sz w:val="24"/>
          <w:szCs w:val="24"/>
        </w:rPr>
      </w:pPr>
      <w:r>
        <w:rPr>
          <w:rFonts w:hint="eastAsia" w:ascii="宋体" w:hAnsi="宋体" w:eastAsia="宋体"/>
          <w:b/>
          <w:bCs/>
          <w:sz w:val="24"/>
          <w:szCs w:val="24"/>
        </w:rPr>
        <w:t>对系统的其它要求</w:t>
      </w:r>
    </w:p>
    <w:tbl>
      <w:tblPr>
        <w:tblStyle w:val="35"/>
        <w:tblW w:w="8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436"/>
        <w:gridCol w:w="6481"/>
      </w:tblGrid>
      <w:tr w14:paraId="603B4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30" w:type="dxa"/>
            <w:gridSpan w:val="3"/>
          </w:tcPr>
          <w:p w14:paraId="7ECB81B0">
            <w:pPr>
              <w:adjustRightInd w:val="0"/>
              <w:snapToGrid w:val="0"/>
              <w:rPr>
                <w:rFonts w:hint="eastAsia" w:ascii="宋体" w:hAnsi="宋体" w:eastAsia="宋体" w:cs="宋体"/>
                <w:bCs/>
                <w:szCs w:val="24"/>
              </w:rPr>
            </w:pPr>
            <w:r>
              <w:rPr>
                <w:rFonts w:hint="eastAsia" w:ascii="宋体" w:hAnsi="宋体" w:eastAsia="宋体" w:cs="Times New Roman"/>
                <w:szCs w:val="24"/>
              </w:rPr>
              <w:t>对系统的其它要求</w:t>
            </w:r>
          </w:p>
        </w:tc>
      </w:tr>
      <w:tr w14:paraId="5E8B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dxa"/>
            <w:vAlign w:val="center"/>
          </w:tcPr>
          <w:p w14:paraId="48DA121A">
            <w:pPr>
              <w:pStyle w:val="25"/>
              <w:widowControl/>
              <w:numPr>
                <w:ilvl w:val="0"/>
                <w:numId w:val="10"/>
              </w:numPr>
              <w:adjustRightInd w:val="0"/>
              <w:snapToGrid w:val="0"/>
              <w:spacing w:line="360" w:lineRule="auto"/>
              <w:rPr>
                <w:rFonts w:hint="eastAsia" w:ascii="宋体" w:hAnsi="宋体" w:eastAsia="宋体" w:cs="宋体"/>
                <w:bCs/>
                <w:sz w:val="24"/>
                <w:szCs w:val="24"/>
              </w:rPr>
            </w:pPr>
          </w:p>
        </w:tc>
        <w:tc>
          <w:tcPr>
            <w:tcW w:w="1436" w:type="dxa"/>
            <w:vAlign w:val="center"/>
          </w:tcPr>
          <w:p w14:paraId="70F53D4B">
            <w:pPr>
              <w:adjustRightInd w:val="0"/>
              <w:snapToGrid w:val="0"/>
              <w:jc w:val="both"/>
              <w:rPr>
                <w:rFonts w:hint="eastAsia" w:ascii="宋体" w:hAnsi="宋体" w:eastAsia="宋体" w:cs="宋体"/>
                <w:bCs/>
                <w:szCs w:val="24"/>
              </w:rPr>
            </w:pPr>
            <w:r>
              <w:rPr>
                <w:rFonts w:hint="eastAsia" w:ascii="宋体" w:hAnsi="宋体" w:eastAsia="宋体" w:cs="宋体"/>
                <w:bCs/>
                <w:szCs w:val="24"/>
              </w:rPr>
              <w:t>软件技术的要求</w:t>
            </w:r>
          </w:p>
        </w:tc>
        <w:tc>
          <w:tcPr>
            <w:tcW w:w="6481" w:type="dxa"/>
          </w:tcPr>
          <w:p w14:paraId="0B3D5BE3">
            <w:pPr>
              <w:pStyle w:val="25"/>
              <w:numPr>
                <w:ilvl w:val="0"/>
                <w:numId w:val="11"/>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系统应具有良好的稳定性、兼容性、安全性。</w:t>
            </w:r>
          </w:p>
          <w:p w14:paraId="4BFACDD5">
            <w:pPr>
              <w:pStyle w:val="25"/>
              <w:numPr>
                <w:ilvl w:val="0"/>
                <w:numId w:val="11"/>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系统应具有良好的架构，易于扩展和维护。</w:t>
            </w:r>
          </w:p>
          <w:p w14:paraId="6FB75152">
            <w:pPr>
              <w:pStyle w:val="25"/>
              <w:numPr>
                <w:ilvl w:val="0"/>
                <w:numId w:val="11"/>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与医院其它系统的集成：系统应提供可集成到医院其它系统的标准接口，能在Win XP / Win 7 / Windows Vista简体中文操作系统平台上运行。接口应成熟、稳定，集成方便。</w:t>
            </w:r>
          </w:p>
          <w:p w14:paraId="66B7BB09">
            <w:pPr>
              <w:pStyle w:val="25"/>
              <w:numPr>
                <w:ilvl w:val="0"/>
                <w:numId w:val="11"/>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使用要求：界面友好，操作方便，结果清晰明了，允许操作使用人员根据自己的习惯对相关功能进行个性化设置；系统运行速度快，无明显的并发延迟。</w:t>
            </w:r>
          </w:p>
          <w:p w14:paraId="318F390A">
            <w:pPr>
              <w:pStyle w:val="25"/>
              <w:numPr>
                <w:ilvl w:val="0"/>
                <w:numId w:val="11"/>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系统应通过对数据进行预处理等手段以提高系统运行和统计效率。</w:t>
            </w:r>
          </w:p>
        </w:tc>
      </w:tr>
      <w:tr w14:paraId="4737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3" w:type="dxa"/>
            <w:vAlign w:val="center"/>
          </w:tcPr>
          <w:p w14:paraId="3A739367">
            <w:pPr>
              <w:pStyle w:val="25"/>
              <w:widowControl/>
              <w:numPr>
                <w:ilvl w:val="0"/>
                <w:numId w:val="10"/>
              </w:numPr>
              <w:adjustRightInd w:val="0"/>
              <w:snapToGrid w:val="0"/>
              <w:spacing w:line="360" w:lineRule="auto"/>
              <w:rPr>
                <w:rFonts w:hint="eastAsia" w:ascii="宋体" w:hAnsi="宋体" w:eastAsia="宋体" w:cs="宋体"/>
                <w:bCs/>
                <w:sz w:val="24"/>
                <w:szCs w:val="24"/>
              </w:rPr>
            </w:pPr>
          </w:p>
        </w:tc>
        <w:tc>
          <w:tcPr>
            <w:tcW w:w="1436" w:type="dxa"/>
            <w:vAlign w:val="center"/>
          </w:tcPr>
          <w:p w14:paraId="7EEAA431">
            <w:pPr>
              <w:adjustRightInd w:val="0"/>
              <w:snapToGrid w:val="0"/>
              <w:jc w:val="both"/>
              <w:rPr>
                <w:rFonts w:hint="eastAsia" w:ascii="宋体" w:hAnsi="宋体" w:eastAsia="宋体" w:cs="宋体"/>
                <w:bCs/>
                <w:szCs w:val="24"/>
              </w:rPr>
            </w:pPr>
            <w:r>
              <w:rPr>
                <w:rFonts w:hint="eastAsia" w:ascii="宋体" w:hAnsi="宋体" w:eastAsia="宋体" w:cs="宋体"/>
                <w:bCs/>
                <w:szCs w:val="24"/>
              </w:rPr>
              <w:t>售后服务要求</w:t>
            </w:r>
          </w:p>
        </w:tc>
        <w:tc>
          <w:tcPr>
            <w:tcW w:w="6481" w:type="dxa"/>
          </w:tcPr>
          <w:p w14:paraId="0AA9DA79">
            <w:pPr>
              <w:pStyle w:val="25"/>
              <w:numPr>
                <w:ilvl w:val="0"/>
                <w:numId w:val="12"/>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有专业的售后服务工程师，能为医院提供及时的售后服务，解决医院在系统使用中遇到的问题。</w:t>
            </w:r>
          </w:p>
          <w:p w14:paraId="312F1260">
            <w:pPr>
              <w:pStyle w:val="25"/>
              <w:numPr>
                <w:ilvl w:val="0"/>
                <w:numId w:val="12"/>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培训：在系统安装实施完成并正式交付医院使用之前，负责培训医院相关的操作使用人员，保证系统的使用效果。</w:t>
            </w:r>
          </w:p>
          <w:p w14:paraId="75E0AC1D">
            <w:pPr>
              <w:pStyle w:val="25"/>
              <w:numPr>
                <w:ilvl w:val="0"/>
                <w:numId w:val="12"/>
              </w:numPr>
              <w:adjustRightInd w:val="0"/>
              <w:snapToGrid w:val="0"/>
              <w:spacing w:line="360" w:lineRule="auto"/>
              <w:ind w:left="0" w:firstLine="0"/>
              <w:rPr>
                <w:rFonts w:hint="eastAsia" w:ascii="宋体" w:hAnsi="宋体" w:eastAsia="宋体" w:cs="宋体"/>
                <w:bCs/>
                <w:sz w:val="24"/>
                <w:szCs w:val="24"/>
              </w:rPr>
            </w:pPr>
            <w:r>
              <w:rPr>
                <w:rFonts w:hint="eastAsia" w:ascii="宋体" w:hAnsi="宋体" w:eastAsia="宋体" w:cs="宋体"/>
                <w:bCs/>
                <w:sz w:val="24"/>
                <w:szCs w:val="24"/>
              </w:rPr>
              <w:t>系统实施完成后，可提供详细的产品说明、操作规程、维护方法等相关技术资料。</w:t>
            </w:r>
          </w:p>
        </w:tc>
      </w:tr>
      <w:bookmarkEnd w:id="0"/>
    </w:tbl>
    <w:p w14:paraId="6B1EC1F0">
      <w:pPr>
        <w:rPr>
          <w:rFonts w:hint="eastAsia" w:ascii="宋体" w:hAnsi="宋体" w:eastAsia="宋体"/>
          <w:szCs w:val="24"/>
        </w:rPr>
      </w:pPr>
    </w:p>
    <w:sectPr>
      <w:footerReference r:id="rId5" w:type="first"/>
      <w:pgSz w:w="11906" w:h="16838"/>
      <w:pgMar w:top="1440" w:right="1800" w:bottom="1440" w:left="1800" w:header="72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0EB92">
    <w:pPr>
      <w:pStyle w:val="11"/>
      <w:jc w:val="center"/>
    </w:pPr>
  </w:p>
  <w:p w14:paraId="600A129C">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409FA"/>
    <w:multiLevelType w:val="multilevel"/>
    <w:tmpl w:val="047409FA"/>
    <w:lvl w:ilvl="0" w:tentative="0">
      <w:start w:val="1"/>
      <w:numFmt w:val="decimal"/>
      <w:lvlText w:val="%1"/>
      <w:lvlJc w:val="left"/>
      <w:pPr>
        <w:ind w:left="360" w:hanging="360"/>
      </w:pPr>
      <w:rPr>
        <w:rFonts w:hint="default"/>
      </w:rPr>
    </w:lvl>
    <w:lvl w:ilvl="1" w:tentative="0">
      <w:start w:val="1"/>
      <w:numFmt w:val="decimal"/>
      <w:suff w:val="space"/>
      <w:lvlText w:val="1.%2"/>
      <w:lvlJc w:val="left"/>
      <w:pPr>
        <w:ind w:left="0" w:firstLine="0"/>
      </w:pPr>
      <w:rPr>
        <w:rFonts w:hint="eastAsia"/>
        <w:color w:val="auto"/>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abstractNum w:abstractNumId="1">
    <w:nsid w:val="157F625E"/>
    <w:multiLevelType w:val="multilevel"/>
    <w:tmpl w:val="157F625E"/>
    <w:lvl w:ilvl="0" w:tentative="0">
      <w:start w:val="1"/>
      <w:numFmt w:val="decimal"/>
      <w:lvlText w:val="9.%1"/>
      <w:lvlJc w:val="left"/>
      <w:pPr>
        <w:ind w:left="420" w:hanging="420"/>
      </w:pPr>
      <w:rPr>
        <w:rFonts w:hint="eastAsia"/>
        <w:b w:val="0"/>
        <w:bCs/>
        <w:i w:val="0"/>
        <w:sz w:val="24"/>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781748D"/>
    <w:multiLevelType w:val="multilevel"/>
    <w:tmpl w:val="1781748D"/>
    <w:lvl w:ilvl="0" w:tentative="0">
      <w:start w:val="1"/>
      <w:numFmt w:val="decimal"/>
      <w:lvlText w:val="8.%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38028C8"/>
    <w:multiLevelType w:val="multilevel"/>
    <w:tmpl w:val="238028C8"/>
    <w:lvl w:ilvl="0" w:tentative="0">
      <w:start w:val="1"/>
      <w:numFmt w:val="decimal"/>
      <w:suff w:val="space"/>
      <w:lvlText w:val="（%1）"/>
      <w:lvlJc w:val="left"/>
      <w:pPr>
        <w:ind w:left="250" w:hanging="25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5E161EB"/>
    <w:multiLevelType w:val="multilevel"/>
    <w:tmpl w:val="25E161EB"/>
    <w:lvl w:ilvl="0" w:tentative="0">
      <w:start w:val="1"/>
      <w:numFmt w:val="decimal"/>
      <w:lvlText w:val="6.%1"/>
      <w:lvlJc w:val="left"/>
      <w:pPr>
        <w:ind w:left="440" w:hanging="440"/>
      </w:pPr>
      <w:rPr>
        <w:rFonts w:hint="eastAsia" w:asciiTheme="minorEastAsia" w:hAnsiTheme="minorEastAsia" w:eastAsiaTheme="minorEastAsia"/>
        <w:b w:val="0"/>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2FB72B2"/>
    <w:multiLevelType w:val="multilevel"/>
    <w:tmpl w:val="32FB72B2"/>
    <w:lvl w:ilvl="0" w:tentative="0">
      <w:start w:val="1"/>
      <w:numFmt w:val="decimal"/>
      <w:suff w:val="space"/>
      <w:lvlText w:val="3.%1"/>
      <w:lvlJc w:val="left"/>
      <w:pPr>
        <w:ind w:left="170" w:firstLine="0"/>
      </w:pPr>
      <w:rPr>
        <w:rFonts w:hint="eastAsia"/>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3DC0987"/>
    <w:multiLevelType w:val="multilevel"/>
    <w:tmpl w:val="43DC0987"/>
    <w:lvl w:ilvl="0" w:tentative="0">
      <w:start w:val="1"/>
      <w:numFmt w:val="decimal"/>
      <w:lvlText w:val="%1."/>
      <w:lvlJc w:val="left"/>
      <w:rPr>
        <w:rFonts w:ascii="仿宋" w:hAnsi="仿宋" w:eastAsia="仿宋"/>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1" w:tentative="0">
      <w:start w:val="1"/>
      <w:numFmt w:val="decimal"/>
      <w:lvlText w:val="%1.%2."/>
      <w:lvlJc w:val="left"/>
      <w:pPr>
        <w:ind w:left="0" w:firstLine="0"/>
      </w:pPr>
      <w:rPr>
        <w:rFonts w:hint="eastAsia" w:ascii="仿宋" w:hAnsi="仿宋" w:eastAsia="仿宋"/>
        <w:b/>
        <w:color w:val="auto"/>
      </w:rPr>
    </w:lvl>
    <w:lvl w:ilvl="2" w:tentative="0">
      <w:start w:val="1"/>
      <w:numFmt w:val="decimal"/>
      <w:lvlText w:val="%1.%2.%3."/>
      <w:lvlJc w:val="left"/>
      <w:pPr>
        <w:ind w:left="0" w:firstLine="0"/>
      </w:pPr>
      <w:rPr>
        <w:rFonts w:hint="eastAsia" w:ascii="仿宋" w:hAnsi="仿宋" w:eastAsia="仿宋"/>
      </w:rPr>
    </w:lvl>
    <w:lvl w:ilvl="3" w:tentative="0">
      <w:start w:val="1"/>
      <w:numFmt w:val="decimal"/>
      <w:pStyle w:val="6"/>
      <w:lvlText w:val="%1.%2.%3.%4."/>
      <w:lvlJc w:val="left"/>
      <w:pPr>
        <w:ind w:left="0" w:firstLine="0"/>
      </w:pPr>
      <w:rPr>
        <w:rFonts w:hint="eastAsia" w:ascii="仿宋" w:hAnsi="仿宋" w:eastAsia="仿宋"/>
      </w:rPr>
    </w:lvl>
    <w:lvl w:ilvl="4" w:tentative="0">
      <w:start w:val="1"/>
      <w:numFmt w:val="decimal"/>
      <w:pStyle w:val="7"/>
      <w:lvlText w:val="%1.%2.%3.%4.%5."/>
      <w:lvlJc w:val="left"/>
      <w:pPr>
        <w:ind w:left="0" w:firstLine="0"/>
      </w:pPr>
      <w:rPr>
        <w:rFonts w:hint="eastAsia"/>
      </w:rPr>
    </w:lvl>
    <w:lvl w:ilvl="5" w:tentative="0">
      <w:start w:val="1"/>
      <w:numFmt w:val="decimal"/>
      <w:pStyle w:val="8"/>
      <w:lvlText w:val="%1.%2.%3.%4.%5.%6."/>
      <w:lvlJc w:val="left"/>
      <w:pPr>
        <w:ind w:left="0" w:firstLine="0"/>
      </w:pPr>
      <w:rPr>
        <w:rFonts w:hint="eastAsia"/>
      </w:rPr>
    </w:lvl>
    <w:lvl w:ilvl="6" w:tentative="0">
      <w:start w:val="1"/>
      <w:numFmt w:val="decimal"/>
      <w:pStyle w:val="9"/>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7">
    <w:nsid w:val="569009D9"/>
    <w:multiLevelType w:val="multilevel"/>
    <w:tmpl w:val="569009D9"/>
    <w:lvl w:ilvl="0" w:tentative="0">
      <w:start w:val="1"/>
      <w:numFmt w:val="decimal"/>
      <w:lvlText w:val="1.%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4E87014"/>
    <w:multiLevelType w:val="multilevel"/>
    <w:tmpl w:val="64E8701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84F7082"/>
    <w:multiLevelType w:val="multilevel"/>
    <w:tmpl w:val="684F7082"/>
    <w:lvl w:ilvl="0" w:tentative="0">
      <w:start w:val="1"/>
      <w:numFmt w:val="decimal"/>
      <w:lvlText w:val="%1."/>
      <w:lvlJc w:val="left"/>
      <w:pPr>
        <w:ind w:left="420" w:hanging="420"/>
      </w:pPr>
      <w:rPr>
        <w:rFonts w:hint="eastAsia"/>
      </w:rPr>
    </w:lvl>
    <w:lvl w:ilvl="1" w:tentative="0">
      <w:start w:val="0"/>
      <w:numFmt w:val="bullet"/>
      <w:lvlText w:val="▲"/>
      <w:lvlJc w:val="left"/>
      <w:pPr>
        <w:ind w:left="780" w:hanging="360"/>
      </w:pPr>
      <w:rPr>
        <w:rFonts w:hint="eastAsia" w:ascii="宋体" w:hAnsi="宋体" w:eastAsia="宋体" w:cs="Arial"/>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B70078A"/>
    <w:multiLevelType w:val="multilevel"/>
    <w:tmpl w:val="6B70078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AE321E6"/>
    <w:multiLevelType w:val="multilevel"/>
    <w:tmpl w:val="7AE321E6"/>
    <w:lvl w:ilvl="0" w:tentative="0">
      <w:start w:val="1"/>
      <w:numFmt w:val="decimal"/>
      <w:lvlText w:val="2.%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0"/>
  </w:num>
  <w:num w:numId="3">
    <w:abstractNumId w:val="9"/>
  </w:num>
  <w:num w:numId="4">
    <w:abstractNumId w:val="0"/>
  </w:num>
  <w:num w:numId="5">
    <w:abstractNumId w:val="5"/>
  </w:num>
  <w:num w:numId="6">
    <w:abstractNumId w:val="4"/>
  </w:num>
  <w:num w:numId="7">
    <w:abstractNumId w:val="2"/>
  </w:num>
  <w:num w:numId="8">
    <w:abstractNumId w:val="3"/>
  </w:num>
  <w:num w:numId="9">
    <w:abstractNumId w:val="1"/>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52E"/>
    <w:rsid w:val="00001527"/>
    <w:rsid w:val="000020A1"/>
    <w:rsid w:val="000035A4"/>
    <w:rsid w:val="00003A12"/>
    <w:rsid w:val="00007553"/>
    <w:rsid w:val="000134C7"/>
    <w:rsid w:val="000161AC"/>
    <w:rsid w:val="0002196E"/>
    <w:rsid w:val="00021C22"/>
    <w:rsid w:val="00022709"/>
    <w:rsid w:val="00032C1C"/>
    <w:rsid w:val="000471DE"/>
    <w:rsid w:val="00063A8F"/>
    <w:rsid w:val="00075931"/>
    <w:rsid w:val="000844FC"/>
    <w:rsid w:val="00092C90"/>
    <w:rsid w:val="000A073A"/>
    <w:rsid w:val="000A4DDF"/>
    <w:rsid w:val="000A54B1"/>
    <w:rsid w:val="000A5F1C"/>
    <w:rsid w:val="000B0C7C"/>
    <w:rsid w:val="000B3026"/>
    <w:rsid w:val="000B4451"/>
    <w:rsid w:val="000C2D44"/>
    <w:rsid w:val="000C3358"/>
    <w:rsid w:val="000C64FF"/>
    <w:rsid w:val="000D0C21"/>
    <w:rsid w:val="000D3478"/>
    <w:rsid w:val="000E7452"/>
    <w:rsid w:val="000F07AE"/>
    <w:rsid w:val="000F2518"/>
    <w:rsid w:val="000F569B"/>
    <w:rsid w:val="000F5F18"/>
    <w:rsid w:val="0010356A"/>
    <w:rsid w:val="00106200"/>
    <w:rsid w:val="00106979"/>
    <w:rsid w:val="00122C1E"/>
    <w:rsid w:val="00124CD2"/>
    <w:rsid w:val="00125893"/>
    <w:rsid w:val="00127361"/>
    <w:rsid w:val="001448DD"/>
    <w:rsid w:val="00150588"/>
    <w:rsid w:val="001570D7"/>
    <w:rsid w:val="00172635"/>
    <w:rsid w:val="0018168E"/>
    <w:rsid w:val="00186C56"/>
    <w:rsid w:val="00187E45"/>
    <w:rsid w:val="001B30FA"/>
    <w:rsid w:val="001B47D8"/>
    <w:rsid w:val="001B56B6"/>
    <w:rsid w:val="001C014E"/>
    <w:rsid w:val="001C6177"/>
    <w:rsid w:val="001D01E7"/>
    <w:rsid w:val="001D084D"/>
    <w:rsid w:val="001D0ECA"/>
    <w:rsid w:val="001D157A"/>
    <w:rsid w:val="001D4D52"/>
    <w:rsid w:val="001E2F9A"/>
    <w:rsid w:val="001E56D6"/>
    <w:rsid w:val="001F4134"/>
    <w:rsid w:val="001F4FBD"/>
    <w:rsid w:val="00200B3C"/>
    <w:rsid w:val="00212B4F"/>
    <w:rsid w:val="00226965"/>
    <w:rsid w:val="0023256D"/>
    <w:rsid w:val="00245CC9"/>
    <w:rsid w:val="00250A95"/>
    <w:rsid w:val="00250FC0"/>
    <w:rsid w:val="002525D4"/>
    <w:rsid w:val="00267923"/>
    <w:rsid w:val="00277969"/>
    <w:rsid w:val="00277E2B"/>
    <w:rsid w:val="00282423"/>
    <w:rsid w:val="002838A6"/>
    <w:rsid w:val="00283C03"/>
    <w:rsid w:val="0028462F"/>
    <w:rsid w:val="00295D2B"/>
    <w:rsid w:val="002A0893"/>
    <w:rsid w:val="002A6B49"/>
    <w:rsid w:val="002B5A34"/>
    <w:rsid w:val="002C69C4"/>
    <w:rsid w:val="002C7726"/>
    <w:rsid w:val="002D06F8"/>
    <w:rsid w:val="002D4DDE"/>
    <w:rsid w:val="002E5EBF"/>
    <w:rsid w:val="002E717F"/>
    <w:rsid w:val="002F5FBB"/>
    <w:rsid w:val="002F7329"/>
    <w:rsid w:val="00302D83"/>
    <w:rsid w:val="0030545F"/>
    <w:rsid w:val="003126B3"/>
    <w:rsid w:val="003259E6"/>
    <w:rsid w:val="00325B55"/>
    <w:rsid w:val="0034386E"/>
    <w:rsid w:val="003502F1"/>
    <w:rsid w:val="00351AD4"/>
    <w:rsid w:val="003636C5"/>
    <w:rsid w:val="00364128"/>
    <w:rsid w:val="00375DCE"/>
    <w:rsid w:val="00384D1C"/>
    <w:rsid w:val="003A215F"/>
    <w:rsid w:val="003A49C8"/>
    <w:rsid w:val="003B1BCC"/>
    <w:rsid w:val="003B63BC"/>
    <w:rsid w:val="003B7B58"/>
    <w:rsid w:val="003F2AD6"/>
    <w:rsid w:val="003F4456"/>
    <w:rsid w:val="003F77A3"/>
    <w:rsid w:val="00403523"/>
    <w:rsid w:val="00414562"/>
    <w:rsid w:val="00417881"/>
    <w:rsid w:val="00426DC8"/>
    <w:rsid w:val="00427549"/>
    <w:rsid w:val="00433059"/>
    <w:rsid w:val="00445571"/>
    <w:rsid w:val="0044657A"/>
    <w:rsid w:val="00454B5A"/>
    <w:rsid w:val="004600D3"/>
    <w:rsid w:val="00460C98"/>
    <w:rsid w:val="004927A6"/>
    <w:rsid w:val="004A09C3"/>
    <w:rsid w:val="004A571B"/>
    <w:rsid w:val="004A64B5"/>
    <w:rsid w:val="004B1585"/>
    <w:rsid w:val="004B43E1"/>
    <w:rsid w:val="004B497E"/>
    <w:rsid w:val="004C01F6"/>
    <w:rsid w:val="004C02EA"/>
    <w:rsid w:val="004C2441"/>
    <w:rsid w:val="004C249F"/>
    <w:rsid w:val="004C521A"/>
    <w:rsid w:val="004D3D91"/>
    <w:rsid w:val="004D3DE5"/>
    <w:rsid w:val="004D410A"/>
    <w:rsid w:val="004E075B"/>
    <w:rsid w:val="004E37ED"/>
    <w:rsid w:val="004F4959"/>
    <w:rsid w:val="00500CF8"/>
    <w:rsid w:val="005015CD"/>
    <w:rsid w:val="005038E4"/>
    <w:rsid w:val="005128E3"/>
    <w:rsid w:val="00513D2A"/>
    <w:rsid w:val="00515851"/>
    <w:rsid w:val="00534AF3"/>
    <w:rsid w:val="005350CF"/>
    <w:rsid w:val="005421C6"/>
    <w:rsid w:val="0054563D"/>
    <w:rsid w:val="00546C25"/>
    <w:rsid w:val="0054717C"/>
    <w:rsid w:val="0057014E"/>
    <w:rsid w:val="005849D9"/>
    <w:rsid w:val="00593A91"/>
    <w:rsid w:val="0059661D"/>
    <w:rsid w:val="005A2448"/>
    <w:rsid w:val="005A3B36"/>
    <w:rsid w:val="005B3C64"/>
    <w:rsid w:val="005C11F8"/>
    <w:rsid w:val="005C3257"/>
    <w:rsid w:val="005D4A53"/>
    <w:rsid w:val="005D5573"/>
    <w:rsid w:val="005E5022"/>
    <w:rsid w:val="005E6114"/>
    <w:rsid w:val="005F1574"/>
    <w:rsid w:val="0061287A"/>
    <w:rsid w:val="0061558D"/>
    <w:rsid w:val="00624324"/>
    <w:rsid w:val="006314D0"/>
    <w:rsid w:val="00634555"/>
    <w:rsid w:val="00637039"/>
    <w:rsid w:val="00645260"/>
    <w:rsid w:val="00656880"/>
    <w:rsid w:val="00656886"/>
    <w:rsid w:val="00657BE4"/>
    <w:rsid w:val="0066771A"/>
    <w:rsid w:val="006677A5"/>
    <w:rsid w:val="0067046A"/>
    <w:rsid w:val="006731FE"/>
    <w:rsid w:val="00673DA8"/>
    <w:rsid w:val="00674169"/>
    <w:rsid w:val="0068702D"/>
    <w:rsid w:val="0069172D"/>
    <w:rsid w:val="006954C8"/>
    <w:rsid w:val="00697524"/>
    <w:rsid w:val="0069798D"/>
    <w:rsid w:val="006A3293"/>
    <w:rsid w:val="006C750A"/>
    <w:rsid w:val="006D0597"/>
    <w:rsid w:val="006D07A1"/>
    <w:rsid w:val="006D2579"/>
    <w:rsid w:val="006D460D"/>
    <w:rsid w:val="006E5BF8"/>
    <w:rsid w:val="006E7571"/>
    <w:rsid w:val="006F2D15"/>
    <w:rsid w:val="006F56B0"/>
    <w:rsid w:val="00703F17"/>
    <w:rsid w:val="00712768"/>
    <w:rsid w:val="00722CC7"/>
    <w:rsid w:val="007237F3"/>
    <w:rsid w:val="0072428C"/>
    <w:rsid w:val="007277BB"/>
    <w:rsid w:val="00741DCA"/>
    <w:rsid w:val="007469EE"/>
    <w:rsid w:val="00756EF4"/>
    <w:rsid w:val="007605F9"/>
    <w:rsid w:val="0076297A"/>
    <w:rsid w:val="00763AD0"/>
    <w:rsid w:val="00767376"/>
    <w:rsid w:val="00771165"/>
    <w:rsid w:val="007743AA"/>
    <w:rsid w:val="00774D78"/>
    <w:rsid w:val="00782358"/>
    <w:rsid w:val="00787C5F"/>
    <w:rsid w:val="007928B4"/>
    <w:rsid w:val="00792FA8"/>
    <w:rsid w:val="00794D7A"/>
    <w:rsid w:val="007A4FFA"/>
    <w:rsid w:val="007A518C"/>
    <w:rsid w:val="007A7051"/>
    <w:rsid w:val="007B1B6D"/>
    <w:rsid w:val="007C2FFF"/>
    <w:rsid w:val="007C554E"/>
    <w:rsid w:val="007C6FFA"/>
    <w:rsid w:val="007D5ED1"/>
    <w:rsid w:val="007D619F"/>
    <w:rsid w:val="007E1778"/>
    <w:rsid w:val="007E7253"/>
    <w:rsid w:val="007F7981"/>
    <w:rsid w:val="00802D51"/>
    <w:rsid w:val="008067BA"/>
    <w:rsid w:val="008108BB"/>
    <w:rsid w:val="008145C7"/>
    <w:rsid w:val="00816E02"/>
    <w:rsid w:val="0083297B"/>
    <w:rsid w:val="00864E47"/>
    <w:rsid w:val="008748F8"/>
    <w:rsid w:val="00890C8A"/>
    <w:rsid w:val="0089243F"/>
    <w:rsid w:val="0089250D"/>
    <w:rsid w:val="008A358A"/>
    <w:rsid w:val="008B109D"/>
    <w:rsid w:val="008B2B6E"/>
    <w:rsid w:val="008B412D"/>
    <w:rsid w:val="008B6C3F"/>
    <w:rsid w:val="008C3B0C"/>
    <w:rsid w:val="008D220C"/>
    <w:rsid w:val="008D4914"/>
    <w:rsid w:val="008E0AD6"/>
    <w:rsid w:val="008E7B98"/>
    <w:rsid w:val="008F1570"/>
    <w:rsid w:val="00907F10"/>
    <w:rsid w:val="009103F7"/>
    <w:rsid w:val="00911673"/>
    <w:rsid w:val="00911F4A"/>
    <w:rsid w:val="009131C7"/>
    <w:rsid w:val="00917C5F"/>
    <w:rsid w:val="00924555"/>
    <w:rsid w:val="00927F71"/>
    <w:rsid w:val="00933810"/>
    <w:rsid w:val="00936D15"/>
    <w:rsid w:val="00942814"/>
    <w:rsid w:val="00944BE2"/>
    <w:rsid w:val="00946FDC"/>
    <w:rsid w:val="00951C8C"/>
    <w:rsid w:val="009558A0"/>
    <w:rsid w:val="00957CA0"/>
    <w:rsid w:val="00964141"/>
    <w:rsid w:val="0096704E"/>
    <w:rsid w:val="00967176"/>
    <w:rsid w:val="00971834"/>
    <w:rsid w:val="00991337"/>
    <w:rsid w:val="00991B04"/>
    <w:rsid w:val="009B5237"/>
    <w:rsid w:val="009C7FC0"/>
    <w:rsid w:val="009D7C65"/>
    <w:rsid w:val="009E6F63"/>
    <w:rsid w:val="009F04CE"/>
    <w:rsid w:val="009F48B9"/>
    <w:rsid w:val="00A04891"/>
    <w:rsid w:val="00A0768A"/>
    <w:rsid w:val="00A2030C"/>
    <w:rsid w:val="00A352F7"/>
    <w:rsid w:val="00A35353"/>
    <w:rsid w:val="00A4499F"/>
    <w:rsid w:val="00A53CD5"/>
    <w:rsid w:val="00A54D9A"/>
    <w:rsid w:val="00A5537A"/>
    <w:rsid w:val="00A7259C"/>
    <w:rsid w:val="00A82301"/>
    <w:rsid w:val="00A9552E"/>
    <w:rsid w:val="00A958BF"/>
    <w:rsid w:val="00AB4FF5"/>
    <w:rsid w:val="00AB5B0C"/>
    <w:rsid w:val="00AB74CD"/>
    <w:rsid w:val="00AB77DD"/>
    <w:rsid w:val="00AB7859"/>
    <w:rsid w:val="00AB7A1B"/>
    <w:rsid w:val="00AC3BF8"/>
    <w:rsid w:val="00AC5337"/>
    <w:rsid w:val="00AD07D2"/>
    <w:rsid w:val="00AD5781"/>
    <w:rsid w:val="00AE4B38"/>
    <w:rsid w:val="00AE75EF"/>
    <w:rsid w:val="00AF4363"/>
    <w:rsid w:val="00B04A34"/>
    <w:rsid w:val="00B076B1"/>
    <w:rsid w:val="00B10854"/>
    <w:rsid w:val="00B25A18"/>
    <w:rsid w:val="00B25E6F"/>
    <w:rsid w:val="00B2727F"/>
    <w:rsid w:val="00B55484"/>
    <w:rsid w:val="00B64F2D"/>
    <w:rsid w:val="00B70220"/>
    <w:rsid w:val="00B87DA6"/>
    <w:rsid w:val="00B91600"/>
    <w:rsid w:val="00BA047C"/>
    <w:rsid w:val="00BA294F"/>
    <w:rsid w:val="00BB72DF"/>
    <w:rsid w:val="00BC0145"/>
    <w:rsid w:val="00BC068D"/>
    <w:rsid w:val="00BD34A1"/>
    <w:rsid w:val="00BF7971"/>
    <w:rsid w:val="00C037A8"/>
    <w:rsid w:val="00C1428B"/>
    <w:rsid w:val="00C2080A"/>
    <w:rsid w:val="00C275A3"/>
    <w:rsid w:val="00C4249A"/>
    <w:rsid w:val="00C4387C"/>
    <w:rsid w:val="00C536EF"/>
    <w:rsid w:val="00C54DCB"/>
    <w:rsid w:val="00C6054C"/>
    <w:rsid w:val="00C64AF9"/>
    <w:rsid w:val="00C657F5"/>
    <w:rsid w:val="00C75517"/>
    <w:rsid w:val="00C9173C"/>
    <w:rsid w:val="00C95099"/>
    <w:rsid w:val="00CA20B7"/>
    <w:rsid w:val="00CB037C"/>
    <w:rsid w:val="00CB0F18"/>
    <w:rsid w:val="00CB2BB7"/>
    <w:rsid w:val="00CC6CB0"/>
    <w:rsid w:val="00CE11AF"/>
    <w:rsid w:val="00CE402D"/>
    <w:rsid w:val="00CE6073"/>
    <w:rsid w:val="00CE688D"/>
    <w:rsid w:val="00D044C6"/>
    <w:rsid w:val="00D2321C"/>
    <w:rsid w:val="00D36387"/>
    <w:rsid w:val="00D41017"/>
    <w:rsid w:val="00D52727"/>
    <w:rsid w:val="00D54B5A"/>
    <w:rsid w:val="00D551C5"/>
    <w:rsid w:val="00D6050D"/>
    <w:rsid w:val="00D61FA4"/>
    <w:rsid w:val="00D705B7"/>
    <w:rsid w:val="00D7107E"/>
    <w:rsid w:val="00D80050"/>
    <w:rsid w:val="00D823A2"/>
    <w:rsid w:val="00D831B6"/>
    <w:rsid w:val="00DA427D"/>
    <w:rsid w:val="00DA4FE4"/>
    <w:rsid w:val="00DA67CE"/>
    <w:rsid w:val="00DB3BF3"/>
    <w:rsid w:val="00DB4465"/>
    <w:rsid w:val="00DC02E8"/>
    <w:rsid w:val="00DE05CB"/>
    <w:rsid w:val="00DE30F4"/>
    <w:rsid w:val="00DE5146"/>
    <w:rsid w:val="00DF427E"/>
    <w:rsid w:val="00E0361A"/>
    <w:rsid w:val="00E140C9"/>
    <w:rsid w:val="00E2706C"/>
    <w:rsid w:val="00E37402"/>
    <w:rsid w:val="00E57D61"/>
    <w:rsid w:val="00E60E9B"/>
    <w:rsid w:val="00E6619D"/>
    <w:rsid w:val="00E80EB9"/>
    <w:rsid w:val="00E85AC0"/>
    <w:rsid w:val="00EA3AA9"/>
    <w:rsid w:val="00ED1BE0"/>
    <w:rsid w:val="00ED418B"/>
    <w:rsid w:val="00EE6BEB"/>
    <w:rsid w:val="00EF38DD"/>
    <w:rsid w:val="00EF64F1"/>
    <w:rsid w:val="00F0210F"/>
    <w:rsid w:val="00F049B0"/>
    <w:rsid w:val="00F068AE"/>
    <w:rsid w:val="00F13D29"/>
    <w:rsid w:val="00F173B8"/>
    <w:rsid w:val="00F37601"/>
    <w:rsid w:val="00F433C2"/>
    <w:rsid w:val="00F4504E"/>
    <w:rsid w:val="00F46974"/>
    <w:rsid w:val="00F555CB"/>
    <w:rsid w:val="00F57021"/>
    <w:rsid w:val="00F63EA1"/>
    <w:rsid w:val="00F72419"/>
    <w:rsid w:val="00F765F0"/>
    <w:rsid w:val="00F8451A"/>
    <w:rsid w:val="00F93332"/>
    <w:rsid w:val="00FA139B"/>
    <w:rsid w:val="00FA6B59"/>
    <w:rsid w:val="00FA7991"/>
    <w:rsid w:val="00FB1630"/>
    <w:rsid w:val="00FB2677"/>
    <w:rsid w:val="00FB4E80"/>
    <w:rsid w:val="00FC082E"/>
    <w:rsid w:val="00FC7B00"/>
    <w:rsid w:val="00FF26E7"/>
    <w:rsid w:val="3A163157"/>
    <w:rsid w:val="4C0C0983"/>
    <w:rsid w:val="4E273FA2"/>
    <w:rsid w:val="68C1269E"/>
    <w:rsid w:val="6E3B72E7"/>
    <w:rsid w:val="755F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eastAsia="仿宋" w:asciiTheme="minorHAnsi" w:hAnsiTheme="minorHAnsi" w:cstheme="minorBidi"/>
      <w:kern w:val="2"/>
      <w:sz w:val="24"/>
      <w:szCs w:val="22"/>
      <w:lang w:val="en-US" w:eastAsia="zh-CN" w:bidi="ar-SA"/>
    </w:rPr>
  </w:style>
  <w:style w:type="paragraph" w:styleId="2">
    <w:name w:val="heading 2"/>
    <w:basedOn w:val="1"/>
    <w:next w:val="1"/>
    <w:link w:val="29"/>
    <w:unhideWhenUsed/>
    <w:qFormat/>
    <w:uiPriority w:val="0"/>
    <w:pPr>
      <w:keepNext/>
      <w:keepLines/>
      <w:spacing w:before="260" w:after="260" w:line="416" w:lineRule="auto"/>
      <w:jc w:val="both"/>
      <w:outlineLvl w:val="1"/>
    </w:pPr>
    <w:rPr>
      <w:rFonts w:ascii="Cambria" w:hAnsi="Cambria" w:eastAsia="宋体" w:cs="Times New Roman"/>
      <w:b/>
      <w:bCs/>
      <w:sz w:val="32"/>
      <w:szCs w:val="32"/>
    </w:rPr>
  </w:style>
  <w:style w:type="paragraph" w:styleId="3">
    <w:name w:val="heading 3"/>
    <w:basedOn w:val="1"/>
    <w:next w:val="1"/>
    <w:link w:val="28"/>
    <w:unhideWhenUsed/>
    <w:qFormat/>
    <w:uiPriority w:val="0"/>
    <w:pPr>
      <w:keepNext/>
      <w:keepLines/>
      <w:spacing w:before="260" w:after="260" w:line="416" w:lineRule="auto"/>
      <w:jc w:val="both"/>
      <w:outlineLvl w:val="2"/>
    </w:pPr>
    <w:rPr>
      <w:rFonts w:ascii="Arial" w:hAnsi="Arial" w:eastAsia="仿宋_GB2312"/>
      <w:b/>
      <w:bCs/>
      <w:sz w:val="32"/>
      <w:szCs w:val="32"/>
    </w:rPr>
  </w:style>
  <w:style w:type="paragraph" w:styleId="4">
    <w:name w:val="heading 4"/>
    <w:basedOn w:val="1"/>
    <w:next w:val="1"/>
    <w:link w:val="18"/>
    <w:unhideWhenUsed/>
    <w:qFormat/>
    <w:uiPriority w:val="9"/>
    <w:pPr>
      <w:keepNext/>
      <w:keepLines/>
      <w:outlineLvl w:val="3"/>
    </w:pPr>
    <w:rPr>
      <w:rFonts w:eastAsia="宋体" w:asciiTheme="majorHAnsi" w:hAnsiTheme="majorHAnsi" w:cstheme="majorBidi"/>
      <w:b/>
      <w:bCs/>
      <w:szCs w:val="28"/>
    </w:rPr>
  </w:style>
  <w:style w:type="paragraph" w:styleId="5">
    <w:name w:val="heading 5"/>
    <w:basedOn w:val="1"/>
    <w:next w:val="1"/>
    <w:link w:val="19"/>
    <w:unhideWhenUsed/>
    <w:qFormat/>
    <w:uiPriority w:val="9"/>
    <w:pPr>
      <w:keepNext/>
      <w:keepLines/>
      <w:outlineLvl w:val="4"/>
    </w:pPr>
    <w:rPr>
      <w:rFonts w:eastAsia="宋体"/>
      <w:b/>
      <w:bCs/>
      <w:szCs w:val="28"/>
    </w:rPr>
  </w:style>
  <w:style w:type="paragraph" w:styleId="6">
    <w:name w:val="heading 6"/>
    <w:basedOn w:val="1"/>
    <w:next w:val="1"/>
    <w:link w:val="20"/>
    <w:unhideWhenUsed/>
    <w:qFormat/>
    <w:uiPriority w:val="9"/>
    <w:pPr>
      <w:keepNext/>
      <w:keepLines/>
      <w:numPr>
        <w:ilvl w:val="3"/>
        <w:numId w:val="1"/>
      </w:numPr>
      <w:outlineLvl w:val="5"/>
    </w:pPr>
    <w:rPr>
      <w:rFonts w:asciiTheme="majorHAnsi" w:hAnsiTheme="majorHAnsi" w:cstheme="majorBidi"/>
      <w:b/>
      <w:bCs/>
      <w:szCs w:val="24"/>
    </w:rPr>
  </w:style>
  <w:style w:type="paragraph" w:styleId="7">
    <w:name w:val="heading 7"/>
    <w:basedOn w:val="1"/>
    <w:next w:val="1"/>
    <w:link w:val="21"/>
    <w:unhideWhenUsed/>
    <w:qFormat/>
    <w:uiPriority w:val="9"/>
    <w:pPr>
      <w:keepNext/>
      <w:keepLines/>
      <w:numPr>
        <w:ilvl w:val="4"/>
        <w:numId w:val="1"/>
      </w:numPr>
      <w:spacing w:before="240" w:after="64" w:line="320" w:lineRule="auto"/>
      <w:outlineLvl w:val="6"/>
    </w:pPr>
    <w:rPr>
      <w:b/>
      <w:bCs/>
      <w:szCs w:val="24"/>
    </w:rPr>
  </w:style>
  <w:style w:type="paragraph" w:styleId="8">
    <w:name w:val="heading 8"/>
    <w:basedOn w:val="1"/>
    <w:next w:val="1"/>
    <w:link w:val="22"/>
    <w:unhideWhenUsed/>
    <w:qFormat/>
    <w:uiPriority w:val="9"/>
    <w:pPr>
      <w:keepNext/>
      <w:keepLines/>
      <w:numPr>
        <w:ilvl w:val="5"/>
        <w:numId w:val="1"/>
      </w:numPr>
      <w:spacing w:before="240" w:after="64" w:line="320" w:lineRule="auto"/>
      <w:outlineLvl w:val="7"/>
    </w:pPr>
    <w:rPr>
      <w:rFonts w:asciiTheme="majorHAnsi" w:hAnsiTheme="majorHAnsi" w:eastAsiaTheme="majorEastAsia" w:cstheme="majorBidi"/>
      <w:szCs w:val="24"/>
    </w:rPr>
  </w:style>
  <w:style w:type="paragraph" w:styleId="9">
    <w:name w:val="heading 9"/>
    <w:basedOn w:val="1"/>
    <w:next w:val="1"/>
    <w:link w:val="23"/>
    <w:unhideWhenUsed/>
    <w:qFormat/>
    <w:uiPriority w:val="9"/>
    <w:pPr>
      <w:keepNext/>
      <w:keepLines/>
      <w:numPr>
        <w:ilvl w:val="6"/>
        <w:numId w:val="1"/>
      </w:numPr>
      <w:spacing w:before="240" w:after="64" w:line="320" w:lineRule="auto"/>
      <w:outlineLvl w:val="8"/>
    </w:pPr>
    <w:rPr>
      <w:rFonts w:asciiTheme="majorHAnsi" w:hAnsiTheme="majorHAnsi" w:eastAsiaTheme="majorEastAsia" w:cstheme="majorBidi"/>
      <w:szCs w:val="21"/>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0">
    <w:name w:val="annotation text"/>
    <w:basedOn w:val="1"/>
    <w:link w:val="27"/>
    <w:qFormat/>
    <w:uiPriority w:val="99"/>
    <w:pPr>
      <w:spacing w:line="240" w:lineRule="auto"/>
    </w:pPr>
    <w:rPr>
      <w:rFonts w:ascii="Times New Roman" w:hAnsi="Times New Roman" w:eastAsia="宋体" w:cs="Times New Roman"/>
      <w:sz w:val="21"/>
      <w:szCs w:val="24"/>
    </w:rPr>
  </w:style>
  <w:style w:type="paragraph" w:styleId="11">
    <w:name w:val="footer"/>
    <w:basedOn w:val="1"/>
    <w:link w:val="24"/>
    <w:unhideWhenUsed/>
    <w:qFormat/>
    <w:uiPriority w:val="0"/>
    <w:pPr>
      <w:tabs>
        <w:tab w:val="center" w:pos="4153"/>
        <w:tab w:val="right" w:pos="8306"/>
      </w:tabs>
      <w:snapToGrid w:val="0"/>
    </w:pPr>
    <w:rPr>
      <w:sz w:val="18"/>
      <w:szCs w:val="18"/>
    </w:rPr>
  </w:style>
  <w:style w:type="paragraph" w:styleId="12">
    <w:name w:val="header"/>
    <w:basedOn w:val="1"/>
    <w:link w:val="3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annotation subject"/>
    <w:basedOn w:val="10"/>
    <w:next w:val="10"/>
    <w:link w:val="34"/>
    <w:semiHidden/>
    <w:unhideWhenUsed/>
    <w:qFormat/>
    <w:uiPriority w:val="99"/>
    <w:pPr>
      <w:spacing w:line="360" w:lineRule="auto"/>
    </w:pPr>
    <w:rPr>
      <w:rFonts w:eastAsia="仿宋" w:asciiTheme="minorHAnsi" w:hAnsiTheme="minorHAnsi" w:cstheme="minorBidi"/>
      <w:b/>
      <w:bCs/>
      <w:sz w:val="24"/>
      <w:szCs w:val="22"/>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annotation reference"/>
    <w:qFormat/>
    <w:uiPriority w:val="99"/>
    <w:rPr>
      <w:sz w:val="21"/>
      <w:szCs w:val="21"/>
    </w:rPr>
  </w:style>
  <w:style w:type="character" w:customStyle="1" w:styleId="18">
    <w:name w:val="标题 4 字符"/>
    <w:basedOn w:val="16"/>
    <w:link w:val="4"/>
    <w:qFormat/>
    <w:uiPriority w:val="9"/>
    <w:rPr>
      <w:rFonts w:eastAsia="宋体" w:asciiTheme="majorHAnsi" w:hAnsiTheme="majorHAnsi" w:cstheme="majorBidi"/>
      <w:b/>
      <w:bCs/>
      <w:sz w:val="24"/>
      <w:szCs w:val="28"/>
    </w:rPr>
  </w:style>
  <w:style w:type="character" w:customStyle="1" w:styleId="19">
    <w:name w:val="标题 5 字符"/>
    <w:basedOn w:val="16"/>
    <w:link w:val="5"/>
    <w:qFormat/>
    <w:uiPriority w:val="9"/>
    <w:rPr>
      <w:rFonts w:eastAsia="宋体"/>
      <w:b/>
      <w:bCs/>
      <w:sz w:val="24"/>
      <w:szCs w:val="28"/>
    </w:rPr>
  </w:style>
  <w:style w:type="character" w:customStyle="1" w:styleId="20">
    <w:name w:val="标题 6 字符"/>
    <w:basedOn w:val="16"/>
    <w:link w:val="6"/>
    <w:uiPriority w:val="9"/>
    <w:rPr>
      <w:rFonts w:eastAsia="仿宋" w:asciiTheme="majorHAnsi" w:hAnsiTheme="majorHAnsi" w:cstheme="majorBidi"/>
      <w:b/>
      <w:bCs/>
      <w:sz w:val="24"/>
      <w:szCs w:val="24"/>
    </w:rPr>
  </w:style>
  <w:style w:type="character" w:customStyle="1" w:styleId="21">
    <w:name w:val="标题 7 字符"/>
    <w:basedOn w:val="16"/>
    <w:link w:val="7"/>
    <w:uiPriority w:val="9"/>
    <w:rPr>
      <w:rFonts w:eastAsia="仿宋"/>
      <w:b/>
      <w:bCs/>
      <w:sz w:val="24"/>
      <w:szCs w:val="24"/>
    </w:rPr>
  </w:style>
  <w:style w:type="character" w:customStyle="1" w:styleId="22">
    <w:name w:val="标题 8 字符"/>
    <w:basedOn w:val="16"/>
    <w:link w:val="8"/>
    <w:qFormat/>
    <w:uiPriority w:val="9"/>
    <w:rPr>
      <w:rFonts w:asciiTheme="majorHAnsi" w:hAnsiTheme="majorHAnsi" w:eastAsiaTheme="majorEastAsia" w:cstheme="majorBidi"/>
      <w:sz w:val="24"/>
      <w:szCs w:val="24"/>
    </w:rPr>
  </w:style>
  <w:style w:type="character" w:customStyle="1" w:styleId="23">
    <w:name w:val="标题 9 字符"/>
    <w:basedOn w:val="16"/>
    <w:link w:val="9"/>
    <w:uiPriority w:val="9"/>
    <w:rPr>
      <w:rFonts w:asciiTheme="majorHAnsi" w:hAnsiTheme="majorHAnsi" w:eastAsiaTheme="majorEastAsia" w:cstheme="majorBidi"/>
      <w:sz w:val="24"/>
      <w:szCs w:val="21"/>
    </w:rPr>
  </w:style>
  <w:style w:type="character" w:customStyle="1" w:styleId="24">
    <w:name w:val="页脚 字符"/>
    <w:basedOn w:val="16"/>
    <w:link w:val="11"/>
    <w:qFormat/>
    <w:uiPriority w:val="0"/>
    <w:rPr>
      <w:rFonts w:eastAsia="仿宋"/>
      <w:sz w:val="18"/>
      <w:szCs w:val="18"/>
    </w:rPr>
  </w:style>
  <w:style w:type="paragraph" w:styleId="25">
    <w:name w:val="List Paragraph"/>
    <w:basedOn w:val="1"/>
    <w:link w:val="26"/>
    <w:qFormat/>
    <w:uiPriority w:val="34"/>
    <w:pPr>
      <w:spacing w:line="240" w:lineRule="auto"/>
      <w:ind w:firstLine="420"/>
      <w:jc w:val="both"/>
    </w:pPr>
    <w:rPr>
      <w:rFonts w:eastAsiaTheme="minorEastAsia"/>
      <w:sz w:val="21"/>
    </w:rPr>
  </w:style>
  <w:style w:type="character" w:customStyle="1" w:styleId="26">
    <w:name w:val="列表段落 字符"/>
    <w:link w:val="25"/>
    <w:qFormat/>
    <w:uiPriority w:val="34"/>
  </w:style>
  <w:style w:type="character" w:customStyle="1" w:styleId="27">
    <w:name w:val="批注文字 字符"/>
    <w:basedOn w:val="16"/>
    <w:link w:val="10"/>
    <w:qFormat/>
    <w:uiPriority w:val="99"/>
    <w:rPr>
      <w:rFonts w:ascii="Times New Roman" w:hAnsi="Times New Roman" w:eastAsia="宋体" w:cs="Times New Roman"/>
      <w:szCs w:val="24"/>
    </w:rPr>
  </w:style>
  <w:style w:type="character" w:customStyle="1" w:styleId="28">
    <w:name w:val="标题 3 字符"/>
    <w:basedOn w:val="16"/>
    <w:link w:val="3"/>
    <w:qFormat/>
    <w:uiPriority w:val="0"/>
    <w:rPr>
      <w:rFonts w:ascii="Arial" w:hAnsi="Arial" w:eastAsia="仿宋_GB2312"/>
      <w:b/>
      <w:bCs/>
      <w:sz w:val="32"/>
      <w:szCs w:val="32"/>
    </w:rPr>
  </w:style>
  <w:style w:type="character" w:customStyle="1" w:styleId="29">
    <w:name w:val="标题 2 字符"/>
    <w:basedOn w:val="16"/>
    <w:link w:val="2"/>
    <w:qFormat/>
    <w:uiPriority w:val="0"/>
    <w:rPr>
      <w:rFonts w:ascii="Cambria" w:hAnsi="Cambria" w:eastAsia="宋体" w:cs="Times New Roman"/>
      <w:b/>
      <w:bCs/>
      <w:sz w:val="32"/>
      <w:szCs w:val="32"/>
    </w:rPr>
  </w:style>
  <w:style w:type="character" w:customStyle="1" w:styleId="30">
    <w:name w:val="Default Char"/>
    <w:link w:val="31"/>
    <w:qFormat/>
    <w:uiPriority w:val="0"/>
    <w:rPr>
      <w:rFonts w:ascii="宋体" w:cs="宋体"/>
      <w:color w:val="000000"/>
    </w:rPr>
  </w:style>
  <w:style w:type="paragraph" w:customStyle="1" w:styleId="31">
    <w:name w:val="Default"/>
    <w:link w:val="30"/>
    <w:qFormat/>
    <w:uiPriority w:val="0"/>
    <w:pPr>
      <w:widowControl w:val="0"/>
      <w:autoSpaceDE w:val="0"/>
      <w:autoSpaceDN w:val="0"/>
      <w:adjustRightInd w:val="0"/>
    </w:pPr>
    <w:rPr>
      <w:rFonts w:ascii="宋体" w:cs="宋体" w:hAnsiTheme="minorHAnsi" w:eastAsiaTheme="minorEastAsia"/>
      <w:color w:val="000000"/>
      <w:kern w:val="2"/>
      <w:sz w:val="21"/>
      <w:szCs w:val="22"/>
      <w:lang w:val="en-US" w:eastAsia="zh-CN" w:bidi="ar-SA"/>
    </w:rPr>
  </w:style>
  <w:style w:type="character" w:customStyle="1" w:styleId="32">
    <w:name w:val="页眉 字符"/>
    <w:basedOn w:val="16"/>
    <w:link w:val="12"/>
    <w:qFormat/>
    <w:uiPriority w:val="99"/>
    <w:rPr>
      <w:rFonts w:eastAsia="仿宋"/>
      <w:sz w:val="18"/>
      <w:szCs w:val="18"/>
    </w:rPr>
  </w:style>
  <w:style w:type="paragraph" w:customStyle="1" w:styleId="33">
    <w:name w:val="Revision"/>
    <w:hidden/>
    <w:semiHidden/>
    <w:qFormat/>
    <w:uiPriority w:val="99"/>
    <w:rPr>
      <w:rFonts w:eastAsia="仿宋" w:asciiTheme="minorHAnsi" w:hAnsiTheme="minorHAnsi" w:cstheme="minorBidi"/>
      <w:kern w:val="2"/>
      <w:sz w:val="24"/>
      <w:szCs w:val="22"/>
      <w:lang w:val="en-US" w:eastAsia="zh-CN" w:bidi="ar-SA"/>
    </w:rPr>
  </w:style>
  <w:style w:type="character" w:customStyle="1" w:styleId="34">
    <w:name w:val="批注主题 字符"/>
    <w:basedOn w:val="27"/>
    <w:link w:val="13"/>
    <w:semiHidden/>
    <w:qFormat/>
    <w:uiPriority w:val="99"/>
    <w:rPr>
      <w:rFonts w:ascii="Times New Roman" w:hAnsi="Times New Roman" w:eastAsia="仿宋" w:cs="Times New Roman"/>
      <w:b/>
      <w:bCs/>
      <w:sz w:val="24"/>
      <w:szCs w:val="24"/>
    </w:rPr>
  </w:style>
  <w:style w:type="table" w:customStyle="1" w:styleId="35">
    <w:name w:val="网格型1"/>
    <w:basedOn w:val="14"/>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网格型2"/>
    <w:basedOn w:val="14"/>
    <w:qFormat/>
    <w:uiPriority w:val="59"/>
    <w:rPr>
      <w:rFonts w:ascii="Calibri" w:hAnsi="Calibri"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网格型3"/>
    <w:basedOn w:val="14"/>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网格型4"/>
    <w:basedOn w:val="14"/>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网格型5"/>
    <w:basedOn w:val="14"/>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E5E56-FF72-4DA2-982E-B9D25099EF54}">
  <ds:schemaRefs/>
</ds:datastoreItem>
</file>

<file path=docProps/app.xml><?xml version="1.0" encoding="utf-8"?>
<Properties xmlns="http://schemas.openxmlformats.org/officeDocument/2006/extended-properties" xmlns:vt="http://schemas.openxmlformats.org/officeDocument/2006/docPropsVTypes">
  <Template>Normal</Template>
  <Pages>4</Pages>
  <Words>3971</Words>
  <Characters>4043</Characters>
  <Lines>31</Lines>
  <Paragraphs>8</Paragraphs>
  <TotalTime>4</TotalTime>
  <ScaleCrop>false</ScaleCrop>
  <LinksUpToDate>false</LinksUpToDate>
  <CharactersWithSpaces>4055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2025-11-10T09:02:00Z</dcterms:created>
  <dc:creator>zhouxiaomi</dc:creator>
  <cp:lastModifiedBy>panliuwen</cp:lastModifiedBy>
  <dcterms:modified xsi:type="dcterms:W3CDTF">2026-08-17T23:51:20Z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CA4AD07C44B14C1A922EF68F3C70FE61_13</vt:lpwstr>
  </property>
  <property fmtid="{D5CDD505-2E9C-101B-9397-08002B2CF9AE}" pid="4" name="KSOTemplateDocerSaveRecord">
    <vt:lpwstr>eyJoZGlkIjoiOWZjZTRkMzA3MjQ4YzA4NWFjZjk1ZGFkMWY2ZDQzYWUiLCJ1c2VySWQiOiIyMjk4MjI4NTUifQ==</vt:lpwstr>
  </property>
</Properties>
</file>