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BC1810">
      <w:pPr>
        <w:pStyle w:val="6"/>
        <w:jc w:val="both"/>
        <w:rPr>
          <w:rFonts w:hint="eastAsia" w:ascii="宋体" w:hAnsi="宋体" w:eastAsia="宋体" w:cs="宋体"/>
          <w:b w:val="0"/>
          <w:bCs w:val="0"/>
          <w:kern w:val="0"/>
          <w:sz w:val="24"/>
          <w:szCs w:val="24"/>
          <w:lang w:eastAsia="zh-CN"/>
          <w14:ligatures w14:val="none"/>
        </w:rPr>
      </w:pPr>
      <w:r>
        <w:rPr>
          <w:rFonts w:hint="eastAsia" w:ascii="宋体" w:hAnsi="宋体" w:eastAsia="宋体" w:cs="宋体"/>
          <w:b w:val="0"/>
          <w:bCs w:val="0"/>
          <w:kern w:val="0"/>
          <w:sz w:val="24"/>
          <w:szCs w:val="24"/>
          <w14:ligatures w14:val="none"/>
        </w:rPr>
        <w:t>附件2</w:t>
      </w:r>
      <w:r>
        <w:rPr>
          <w:rFonts w:hint="eastAsia" w:ascii="宋体" w:hAnsi="宋体" w:eastAsia="宋体" w:cs="宋体"/>
          <w:b w:val="0"/>
          <w:bCs w:val="0"/>
          <w:kern w:val="0"/>
          <w:sz w:val="24"/>
          <w:szCs w:val="24"/>
          <w:lang w:eastAsia="zh-CN"/>
          <w14:ligatures w14:val="none"/>
        </w:rPr>
        <w:t>：</w:t>
      </w:r>
    </w:p>
    <w:p w14:paraId="77B57134">
      <w:pPr>
        <w:pStyle w:val="6"/>
        <w:jc w:val="center"/>
        <w:rPr>
          <w:rFonts w:hint="eastAsia"/>
          <w:sz w:val="16"/>
          <w:szCs w:val="16"/>
        </w:rPr>
      </w:pPr>
      <w:r>
        <w:rPr>
          <w:rFonts w:hint="eastAsia" w:ascii="宋体" w:hAnsi="宋体" w:eastAsia="宋体" w:cs="宋体"/>
          <w:b/>
          <w:bCs/>
          <w:kern w:val="0"/>
          <w:sz w:val="32"/>
          <w:szCs w:val="32"/>
          <w14:ligatures w14:val="none"/>
        </w:rPr>
        <w:t>项目需求</w:t>
      </w:r>
    </w:p>
    <w:p w14:paraId="3EE0E5BA">
      <w:pPr>
        <w:pStyle w:val="2"/>
        <w:rPr>
          <w:rFonts w:hint="eastAsia" w:ascii="仿宋" w:hAnsi="仿宋" w:eastAsia="仿宋" w:cs="仿宋"/>
        </w:rPr>
      </w:pPr>
      <w:r>
        <w:rPr>
          <w:rFonts w:hint="eastAsia" w:ascii="仿宋" w:hAnsi="仿宋" w:eastAsia="仿宋" w:cs="仿宋"/>
        </w:rPr>
        <w:t>一、项目概况</w:t>
      </w:r>
    </w:p>
    <w:p w14:paraId="2A838980">
      <w:pPr>
        <w:rPr>
          <w:rFonts w:hint="eastAsia" w:ascii="仿宋" w:hAnsi="仿宋" w:eastAsia="仿宋" w:cs="仿宋"/>
          <w:b/>
          <w:bCs/>
          <w:sz w:val="24"/>
        </w:rPr>
      </w:pPr>
      <w:r>
        <w:rPr>
          <w:rFonts w:hint="eastAsia" w:ascii="仿宋" w:hAnsi="仿宋" w:eastAsia="仿宋" w:cs="仿宋"/>
          <w:b/>
          <w:bCs/>
          <w:sz w:val="24"/>
        </w:rPr>
        <w:t>1.项目名称</w:t>
      </w:r>
    </w:p>
    <w:p w14:paraId="6535CB65">
      <w:pPr>
        <w:widowControl/>
        <w:shd w:val="clear" w:color="auto" w:fill="FFFFFF"/>
        <w:wordWrap w:val="0"/>
        <w:spacing w:beforeAutospacing="0" w:afterAutospacing="0" w:line="360" w:lineRule="auto"/>
        <w:ind w:firstLine="420"/>
        <w:rPr>
          <w:rFonts w:hint="eastAsia" w:ascii="仿宋" w:hAnsi="仿宋" w:eastAsia="仿宋" w:cs="仿宋"/>
          <w:color w:val="333333"/>
          <w:sz w:val="24"/>
          <w:szCs w:val="28"/>
          <w:shd w:val="clear" w:color="auto" w:fill="FFFFFF"/>
        </w:rPr>
      </w:pPr>
      <w:r>
        <w:rPr>
          <w:rFonts w:hint="eastAsia" w:ascii="仿宋" w:hAnsi="仿宋" w:eastAsia="仿宋" w:cs="仿宋"/>
          <w:color w:val="333333"/>
          <w:sz w:val="24"/>
          <w:szCs w:val="28"/>
          <w:shd w:val="clear" w:color="auto" w:fill="FFFFFF"/>
        </w:rPr>
        <w:t>梧州市临床病理诊断中心数智病理大数据中心项目</w:t>
      </w:r>
    </w:p>
    <w:p w14:paraId="7ED3E524">
      <w:pPr>
        <w:rPr>
          <w:rFonts w:hint="eastAsia" w:ascii="仿宋" w:hAnsi="仿宋" w:eastAsia="仿宋" w:cs="仿宋"/>
          <w:b/>
          <w:bCs/>
          <w:sz w:val="24"/>
        </w:rPr>
      </w:pPr>
      <w:r>
        <w:rPr>
          <w:rFonts w:hint="eastAsia" w:ascii="仿宋" w:hAnsi="仿宋" w:eastAsia="仿宋" w:cs="仿宋"/>
          <w:b/>
          <w:bCs/>
          <w:sz w:val="24"/>
        </w:rPr>
        <w:t>2.</w:t>
      </w:r>
      <w:r>
        <w:rPr>
          <w:rFonts w:hint="eastAsia" w:ascii="仿宋" w:hAnsi="仿宋" w:eastAsia="仿宋" w:cs="仿宋"/>
          <w:b/>
          <w:bCs/>
          <w:sz w:val="24"/>
          <w:lang w:val="en-US" w:eastAsia="zh-CN"/>
        </w:rPr>
        <w:t>项目</w:t>
      </w:r>
      <w:r>
        <w:rPr>
          <w:rFonts w:hint="eastAsia" w:ascii="仿宋" w:hAnsi="仿宋" w:eastAsia="仿宋" w:cs="仿宋"/>
          <w:b/>
          <w:bCs/>
          <w:sz w:val="24"/>
        </w:rPr>
        <w:t>建设目标</w:t>
      </w:r>
    </w:p>
    <w:p w14:paraId="688CF2A3">
      <w:pPr>
        <w:widowControl/>
        <w:shd w:val="clear" w:color="auto" w:fill="FFFFFF"/>
        <w:wordWrap w:val="0"/>
        <w:spacing w:beforeAutospacing="0" w:afterAutospacing="0" w:line="360" w:lineRule="auto"/>
        <w:ind w:firstLine="480" w:firstLineChars="200"/>
        <w:rPr>
          <w:rFonts w:hint="eastAsia" w:ascii="仿宋" w:hAnsi="仿宋" w:eastAsia="仿宋" w:cs="仿宋"/>
          <w:color w:val="333333"/>
          <w:sz w:val="24"/>
          <w:szCs w:val="28"/>
          <w:shd w:val="clear" w:color="auto" w:fill="FFFFFF"/>
        </w:rPr>
      </w:pPr>
      <w:r>
        <w:rPr>
          <w:rFonts w:hint="eastAsia" w:ascii="仿宋" w:hAnsi="仿宋" w:eastAsia="仿宋" w:cs="仿宋"/>
          <w:color w:val="333333"/>
          <w:sz w:val="24"/>
          <w:szCs w:val="28"/>
          <w:shd w:val="clear" w:color="auto" w:fill="FFFFFF"/>
        </w:rPr>
        <w:t>本项目建设依托梧州市一期智慧病理建设成果与市域病理集约化运营体系，紧扣人工智能辅助诊断系统、智慧病理大数据中心、数字化病理诊断系统、样本库信息化管理系统、教学培训系统、运营管理信息平台</w:t>
      </w:r>
      <w:r>
        <w:rPr>
          <w:rFonts w:hint="eastAsia" w:ascii="仿宋" w:hAnsi="仿宋" w:eastAsia="仿宋" w:cs="仿宋"/>
          <w:color w:val="333333"/>
          <w:sz w:val="24"/>
          <w:szCs w:val="28"/>
          <w:shd w:val="clear" w:color="auto" w:fill="FFFFFF"/>
          <w:lang w:val="en-US" w:eastAsia="zh-CN"/>
        </w:rPr>
        <w:t>等</w:t>
      </w:r>
      <w:r>
        <w:rPr>
          <w:rFonts w:hint="eastAsia" w:ascii="仿宋" w:hAnsi="仿宋" w:eastAsia="仿宋" w:cs="仿宋"/>
          <w:color w:val="333333"/>
          <w:sz w:val="24"/>
          <w:szCs w:val="28"/>
          <w:shd w:val="clear" w:color="auto" w:fill="FFFFFF"/>
        </w:rPr>
        <w:t>核心建设内容，立足全市病理诊疗同质化、管理精细化、服务智能化发展需求，遵循信创建设标准、市级资源统筹机制</w:t>
      </w:r>
      <w:r>
        <w:rPr>
          <w:rFonts w:hint="eastAsia" w:ascii="仿宋" w:hAnsi="仿宋" w:eastAsia="仿宋" w:cs="仿宋"/>
          <w:color w:val="333333"/>
          <w:sz w:val="24"/>
          <w:szCs w:val="28"/>
          <w:shd w:val="clear" w:color="auto" w:fill="FFFFFF"/>
          <w:lang w:val="en-US" w:eastAsia="zh-CN"/>
        </w:rPr>
        <w:t>等</w:t>
      </w:r>
      <w:r>
        <w:rPr>
          <w:rFonts w:hint="eastAsia" w:ascii="仿宋" w:hAnsi="仿宋" w:eastAsia="仿宋" w:cs="仿宋"/>
          <w:color w:val="333333"/>
          <w:sz w:val="24"/>
          <w:szCs w:val="28"/>
          <w:shd w:val="clear" w:color="auto" w:fill="FFFFFF"/>
        </w:rPr>
        <w:t>原则，通过系统性功能</w:t>
      </w:r>
      <w:r>
        <w:rPr>
          <w:rFonts w:hint="eastAsia" w:ascii="仿宋" w:hAnsi="仿宋" w:eastAsia="仿宋" w:cs="仿宋"/>
          <w:color w:val="333333"/>
          <w:sz w:val="24"/>
          <w:szCs w:val="28"/>
          <w:shd w:val="clear" w:color="auto" w:fill="FFFFFF"/>
          <w:lang w:val="en-US" w:eastAsia="zh-CN"/>
        </w:rPr>
        <w:t>建设</w:t>
      </w:r>
      <w:r>
        <w:rPr>
          <w:rFonts w:hint="eastAsia" w:ascii="仿宋" w:hAnsi="仿宋" w:eastAsia="仿宋" w:cs="仿宋"/>
          <w:color w:val="333333"/>
          <w:sz w:val="24"/>
          <w:szCs w:val="28"/>
          <w:shd w:val="clear" w:color="auto" w:fill="FFFFFF"/>
        </w:rPr>
        <w:t>、数字赋能与体系完善，进一步</w:t>
      </w:r>
      <w:r>
        <w:rPr>
          <w:rFonts w:hint="eastAsia" w:ascii="仿宋" w:hAnsi="仿宋" w:eastAsia="仿宋" w:cs="仿宋"/>
          <w:color w:val="333333"/>
          <w:sz w:val="24"/>
          <w:szCs w:val="28"/>
          <w:highlight w:val="none"/>
          <w:shd w:val="clear" w:color="auto" w:fill="FFFFFF"/>
        </w:rPr>
        <w:t>夯实“1个</w:t>
      </w:r>
      <w:r>
        <w:rPr>
          <w:rFonts w:hint="eastAsia" w:ascii="仿宋" w:hAnsi="仿宋" w:eastAsia="仿宋" w:cs="仿宋"/>
          <w:color w:val="333333"/>
          <w:sz w:val="24"/>
          <w:szCs w:val="28"/>
          <w:highlight w:val="none"/>
          <w:shd w:val="clear" w:color="auto" w:fill="FFFFFF"/>
          <w:lang w:val="en-US" w:eastAsia="zh-CN"/>
        </w:rPr>
        <w:t>临床</w:t>
      </w:r>
      <w:r>
        <w:rPr>
          <w:rFonts w:hint="eastAsia" w:ascii="仿宋" w:hAnsi="仿宋" w:eastAsia="仿宋" w:cs="仿宋"/>
          <w:color w:val="333333"/>
          <w:sz w:val="24"/>
          <w:szCs w:val="28"/>
          <w:highlight w:val="none"/>
          <w:shd w:val="clear" w:color="auto" w:fill="FFFFFF"/>
        </w:rPr>
        <w:t>病理诊断中心+</w:t>
      </w:r>
      <w:r>
        <w:rPr>
          <w:rFonts w:hint="eastAsia" w:ascii="仿宋" w:hAnsi="仿宋" w:eastAsia="仿宋" w:cs="仿宋"/>
          <w:color w:val="333333"/>
          <w:sz w:val="24"/>
          <w:szCs w:val="28"/>
          <w:highlight w:val="none"/>
          <w:shd w:val="clear" w:color="auto" w:fill="FFFFFF"/>
          <w:lang w:val="en-US" w:eastAsia="zh-CN"/>
        </w:rPr>
        <w:t>N</w:t>
      </w:r>
      <w:r>
        <w:rPr>
          <w:rFonts w:hint="eastAsia" w:ascii="仿宋" w:hAnsi="仿宋" w:eastAsia="仿宋" w:cs="仿宋"/>
          <w:color w:val="333333"/>
          <w:sz w:val="24"/>
          <w:szCs w:val="28"/>
          <w:highlight w:val="none"/>
          <w:shd w:val="clear" w:color="auto" w:fill="FFFFFF"/>
        </w:rPr>
        <w:t>个术中冰冻快速诊断点”集约</w:t>
      </w:r>
      <w:r>
        <w:rPr>
          <w:rFonts w:hint="eastAsia" w:ascii="仿宋" w:hAnsi="仿宋" w:eastAsia="仿宋" w:cs="仿宋"/>
          <w:color w:val="333333"/>
          <w:sz w:val="24"/>
          <w:szCs w:val="28"/>
          <w:shd w:val="clear" w:color="auto" w:fill="FFFFFF"/>
        </w:rPr>
        <w:t>化运行模式，全面提升梧州市全域病理诊断服务能力、数据治理水平、人才培养质量与行业管理效能，构建体系完整、技术先进、可持续运营的区域智慧病理服务体系，持续发挥市级病理中心辐射带动作用，推动全市病理医疗服务高质量、均衡化发展。</w:t>
      </w:r>
    </w:p>
    <w:p w14:paraId="0E0FDEF9">
      <w:pPr>
        <w:numPr>
          <w:ilvl w:val="0"/>
          <w:numId w:val="1"/>
        </w:numPr>
        <w:rPr>
          <w:rFonts w:hint="eastAsia" w:ascii="仿宋" w:hAnsi="仿宋" w:eastAsia="仿宋" w:cs="仿宋"/>
          <w:b/>
          <w:bCs/>
          <w:sz w:val="24"/>
        </w:rPr>
      </w:pPr>
      <w:r>
        <w:rPr>
          <w:rFonts w:hint="eastAsia" w:ascii="仿宋" w:hAnsi="仿宋" w:eastAsia="仿宋" w:cs="仿宋"/>
          <w:b/>
          <w:bCs/>
          <w:sz w:val="24"/>
          <w:lang w:val="en-US" w:eastAsia="zh-CN"/>
        </w:rPr>
        <w:t>项目</w:t>
      </w:r>
      <w:r>
        <w:rPr>
          <w:rFonts w:hint="eastAsia" w:ascii="仿宋" w:hAnsi="仿宋" w:eastAsia="仿宋" w:cs="仿宋"/>
          <w:b/>
          <w:bCs/>
          <w:sz w:val="24"/>
        </w:rPr>
        <w:t>建设规模</w:t>
      </w:r>
      <w:r>
        <w:rPr>
          <w:rFonts w:hint="eastAsia" w:ascii="仿宋" w:hAnsi="仿宋" w:eastAsia="仿宋" w:cs="仿宋"/>
          <w:b/>
          <w:bCs/>
          <w:sz w:val="24"/>
          <w:lang w:val="en-US" w:eastAsia="zh-CN"/>
        </w:rPr>
        <w:t>及内容</w:t>
      </w:r>
    </w:p>
    <w:p w14:paraId="02C694F6">
      <w:pPr>
        <w:widowControl/>
        <w:shd w:val="clear" w:color="auto" w:fill="FFFFFF"/>
        <w:wordWrap w:val="0"/>
        <w:spacing w:beforeAutospacing="0" w:afterAutospacing="0" w:line="360" w:lineRule="auto"/>
        <w:ind w:firstLine="480" w:firstLineChars="200"/>
        <w:rPr>
          <w:rFonts w:hint="eastAsia" w:ascii="仿宋" w:hAnsi="仿宋" w:eastAsia="仿宋" w:cs="仿宋"/>
          <w:color w:val="333333"/>
          <w:sz w:val="24"/>
          <w:szCs w:val="28"/>
          <w:shd w:val="clear" w:color="auto" w:fill="FFFFFF"/>
          <w:lang w:val="en-US" w:eastAsia="zh-CN"/>
        </w:rPr>
      </w:pPr>
      <w:r>
        <w:rPr>
          <w:rFonts w:hint="eastAsia" w:ascii="仿宋" w:hAnsi="仿宋" w:eastAsia="仿宋" w:cs="仿宋"/>
          <w:color w:val="333333"/>
          <w:sz w:val="24"/>
          <w:szCs w:val="28"/>
          <w:shd w:val="clear" w:color="auto" w:fill="FFFFFF"/>
          <w:lang w:val="en-US" w:eastAsia="zh-CN"/>
        </w:rPr>
        <w:t>本项目通过搭建智慧数字化病理诊断体系、整合各成员单位病理软硬件及人才资源的过渡建设模式，统筹组建梧州市全域临床病理诊断中心，正式构建</w:t>
      </w:r>
      <w:r>
        <w:rPr>
          <w:rFonts w:hint="eastAsia" w:ascii="仿宋" w:hAnsi="仿宋" w:eastAsia="仿宋" w:cs="仿宋"/>
          <w:color w:val="333333"/>
          <w:sz w:val="24"/>
          <w:szCs w:val="28"/>
          <w:highlight w:val="none"/>
          <w:shd w:val="clear" w:color="auto" w:fill="FFFFFF"/>
        </w:rPr>
        <w:t>“1个</w:t>
      </w:r>
      <w:r>
        <w:rPr>
          <w:rFonts w:hint="eastAsia" w:ascii="仿宋" w:hAnsi="仿宋" w:eastAsia="仿宋" w:cs="仿宋"/>
          <w:color w:val="333333"/>
          <w:sz w:val="24"/>
          <w:szCs w:val="28"/>
          <w:highlight w:val="none"/>
          <w:shd w:val="clear" w:color="auto" w:fill="FFFFFF"/>
          <w:lang w:val="en-US" w:eastAsia="zh-CN"/>
        </w:rPr>
        <w:t>临床</w:t>
      </w:r>
      <w:r>
        <w:rPr>
          <w:rFonts w:hint="eastAsia" w:ascii="仿宋" w:hAnsi="仿宋" w:eastAsia="仿宋" w:cs="仿宋"/>
          <w:color w:val="333333"/>
          <w:sz w:val="24"/>
          <w:szCs w:val="28"/>
          <w:highlight w:val="none"/>
          <w:shd w:val="clear" w:color="auto" w:fill="FFFFFF"/>
        </w:rPr>
        <w:t>病理诊断中心+</w:t>
      </w:r>
      <w:r>
        <w:rPr>
          <w:rFonts w:hint="eastAsia" w:ascii="仿宋" w:hAnsi="仿宋" w:eastAsia="仿宋" w:cs="仿宋"/>
          <w:color w:val="333333"/>
          <w:sz w:val="24"/>
          <w:szCs w:val="28"/>
          <w:highlight w:val="none"/>
          <w:shd w:val="clear" w:color="auto" w:fill="FFFFFF"/>
          <w:lang w:val="en-US" w:eastAsia="zh-CN"/>
        </w:rPr>
        <w:t>N</w:t>
      </w:r>
      <w:r>
        <w:rPr>
          <w:rFonts w:hint="eastAsia" w:ascii="仿宋" w:hAnsi="仿宋" w:eastAsia="仿宋" w:cs="仿宋"/>
          <w:color w:val="333333"/>
          <w:sz w:val="24"/>
          <w:szCs w:val="28"/>
          <w:highlight w:val="none"/>
          <w:shd w:val="clear" w:color="auto" w:fill="FFFFFF"/>
        </w:rPr>
        <w:t>个术中冰冻快速诊断点”</w:t>
      </w:r>
      <w:r>
        <w:rPr>
          <w:rFonts w:hint="eastAsia" w:ascii="仿宋" w:hAnsi="仿宋" w:eastAsia="仿宋" w:cs="仿宋"/>
          <w:color w:val="333333"/>
          <w:sz w:val="24"/>
          <w:szCs w:val="28"/>
          <w:highlight w:val="none"/>
          <w:shd w:val="clear" w:color="auto" w:fill="FFFFFF"/>
          <w:lang w:val="en-US" w:eastAsia="zh-CN"/>
        </w:rPr>
        <w:t>的市域病理集约化运营服务模式。项目服务覆盖</w:t>
      </w:r>
      <w:r>
        <w:rPr>
          <w:rFonts w:hint="eastAsia" w:ascii="仿宋" w:hAnsi="仿宋" w:eastAsia="仿宋" w:cs="仿宋"/>
          <w:color w:val="333333"/>
          <w:sz w:val="24"/>
          <w:szCs w:val="28"/>
          <w:shd w:val="clear" w:color="auto" w:fill="FFFFFF"/>
          <w:lang w:val="en-US" w:eastAsia="zh-CN"/>
        </w:rPr>
        <w:t>全域梧州市，同时辐射带动桂东南区域病理诊疗服务高质量发展，可为全市及区内外各级医疗卫生机构提供标准化、智能化、集约化的专业病理诊断服务。</w:t>
      </w:r>
    </w:p>
    <w:p w14:paraId="5B999CE2">
      <w:pPr>
        <w:widowControl/>
        <w:shd w:val="clear" w:color="auto" w:fill="FFFFFF"/>
        <w:wordWrap w:val="0"/>
        <w:spacing w:beforeAutospacing="0" w:afterAutospacing="0" w:line="360" w:lineRule="auto"/>
        <w:ind w:firstLine="480" w:firstLineChars="200"/>
        <w:rPr>
          <w:rFonts w:hint="default" w:ascii="仿宋" w:hAnsi="仿宋" w:eastAsia="仿宋" w:cs="仿宋"/>
          <w:color w:val="333333"/>
          <w:sz w:val="24"/>
          <w:szCs w:val="28"/>
          <w:shd w:val="clear" w:color="auto" w:fill="FFFFFF"/>
          <w:lang w:val="en-US" w:eastAsia="zh-CN"/>
        </w:rPr>
      </w:pPr>
      <w:r>
        <w:rPr>
          <w:rFonts w:hint="eastAsia" w:ascii="仿宋" w:hAnsi="仿宋" w:eastAsia="仿宋" w:cs="仿宋"/>
          <w:color w:val="333333"/>
          <w:sz w:val="24"/>
          <w:szCs w:val="28"/>
          <w:shd w:val="clear" w:color="auto" w:fill="FFFFFF"/>
          <w:lang w:val="en-US" w:eastAsia="zh-CN"/>
        </w:rPr>
        <w:t>项目建设及应用覆盖范围聚焦梧州市全域病理服务体系，核心覆盖单位包括市级核心依托单位梧州市工人医院临床病理诊断中心，以及梧州市红十字会医院、梧州市人民医院、梧州市中医医院3家市级成员分中心，苍梧县、岑溪市、蒙山县、藤县4家县级病理分中心，全面覆盖各机构病理科、信息科及相关临床业务科室。本次项目重点建设七大核心信息化平台，分别为人工智能辅助诊断系统、智慧病理大数据中心、数字化病理诊断系统、样本库信息化管理系统、病理教学培训系统、运营管理信息平台，通过全链条数字化、智能化系统搭建，完善市域病理诊断、质量管控、样本管理、人才培育、运营考核、数据治理全流程能力，全面支撑市域病理集约化、同质化、智能化运营，持续提升区域病理诊疗服务能级与辐射影响力。</w:t>
      </w:r>
    </w:p>
    <w:p w14:paraId="58A5C720">
      <w:pPr>
        <w:numPr>
          <w:ilvl w:val="0"/>
          <w:numId w:val="1"/>
        </w:numPr>
        <w:ind w:left="0" w:leftChars="0" w:firstLine="0" w:firstLineChars="0"/>
        <w:rPr>
          <w:rFonts w:hint="eastAsia" w:ascii="仿宋" w:hAnsi="仿宋" w:eastAsia="仿宋" w:cs="仿宋"/>
          <w:b/>
          <w:bCs/>
          <w:sz w:val="24"/>
        </w:rPr>
      </w:pPr>
      <w:r>
        <w:rPr>
          <w:rFonts w:hint="eastAsia" w:ascii="仿宋" w:hAnsi="仿宋" w:eastAsia="仿宋" w:cs="仿宋"/>
          <w:b/>
          <w:bCs/>
          <w:sz w:val="24"/>
        </w:rPr>
        <w:t>建设需求</w:t>
      </w:r>
    </w:p>
    <w:p w14:paraId="227586FB">
      <w:pPr>
        <w:spacing w:line="360" w:lineRule="auto"/>
        <w:ind w:firstLine="420"/>
        <w:rPr>
          <w:rFonts w:hint="eastAsia" w:ascii="仿宋" w:hAnsi="仿宋" w:eastAsia="仿宋" w:cs="仿宋"/>
          <w:sz w:val="24"/>
        </w:rPr>
      </w:pPr>
      <w:r>
        <w:rPr>
          <w:rFonts w:hint="eastAsia" w:ascii="仿宋" w:hAnsi="仿宋" w:eastAsia="仿宋" w:cs="仿宋"/>
          <w:sz w:val="24"/>
        </w:rPr>
        <w:t>本项目立足梧州市全域病理集约化运营发展布局，依托一期智慧病理建设基础，围绕市级病理中心职能定位、区域社会医疗服务赋能、行业技术迭代升级等核心维度，结合病理诊疗行业标准化、同质化、智能化发展特点</w:t>
      </w:r>
      <w:r>
        <w:rPr>
          <w:rFonts w:hint="eastAsia" w:ascii="仿宋" w:hAnsi="仿宋" w:eastAsia="仿宋" w:cs="仿宋"/>
          <w:sz w:val="24"/>
          <w:lang w:eastAsia="zh-CN"/>
        </w:rPr>
        <w:t>。</w:t>
      </w:r>
      <w:r>
        <w:rPr>
          <w:rFonts w:hint="eastAsia" w:ascii="仿宋" w:hAnsi="仿宋" w:eastAsia="仿宋" w:cs="仿宋"/>
          <w:sz w:val="24"/>
        </w:rPr>
        <w:t>针对</w:t>
      </w:r>
      <w:r>
        <w:rPr>
          <w:rFonts w:hint="eastAsia" w:ascii="仿宋" w:hAnsi="仿宋" w:eastAsia="仿宋" w:cs="仿宋"/>
          <w:sz w:val="24"/>
          <w:lang w:val="en-US" w:eastAsia="zh-CN"/>
        </w:rPr>
        <w:t>本次项目建设</w:t>
      </w:r>
      <w:r>
        <w:rPr>
          <w:rFonts w:hint="eastAsia" w:ascii="仿宋" w:hAnsi="仿宋" w:eastAsia="仿宋" w:cs="仿宋"/>
          <w:sz w:val="24"/>
        </w:rPr>
        <w:t>，全面梳理项目业务开展、流程优化、系统应用、服务升级的核心业务需求。同时从系统使用视角，明确项目应用规模、场景覆盖、用户范围、业务承载量级，为项目建设内容、功能设计、架构选型、算力存储配置提供精准依据。</w:t>
      </w:r>
    </w:p>
    <w:p w14:paraId="7026F075">
      <w:pPr>
        <w:pStyle w:val="2"/>
        <w:rPr>
          <w:rFonts w:hint="eastAsia" w:ascii="仿宋" w:hAnsi="仿宋" w:eastAsia="仿宋" w:cs="仿宋"/>
        </w:rPr>
      </w:pPr>
      <w:r>
        <w:rPr>
          <w:rFonts w:hint="eastAsia" w:ascii="仿宋" w:hAnsi="仿宋" w:eastAsia="仿宋" w:cs="仿宋"/>
          <w:lang w:val="en-US" w:eastAsia="zh-CN"/>
        </w:rPr>
        <w:t>二、</w:t>
      </w:r>
      <w:r>
        <w:rPr>
          <w:rFonts w:hint="eastAsia" w:ascii="仿宋" w:hAnsi="仿宋" w:eastAsia="仿宋" w:cs="仿宋"/>
        </w:rPr>
        <w:t>项目需求清单</w:t>
      </w:r>
    </w:p>
    <w:p w14:paraId="1BC771CF">
      <w:pPr>
        <w:spacing w:line="360" w:lineRule="auto"/>
        <w:ind w:firstLine="420"/>
        <w:jc w:val="center"/>
        <w:rPr>
          <w:rFonts w:hint="eastAsia" w:ascii="仿宋" w:hAnsi="仿宋" w:eastAsia="仿宋" w:cs="仿宋"/>
          <w:sz w:val="24"/>
          <w:szCs w:val="24"/>
        </w:rPr>
      </w:pPr>
      <w:r>
        <w:rPr>
          <w:rFonts w:hint="eastAsia" w:ascii="仿宋" w:hAnsi="仿宋" w:eastAsia="仿宋" w:cs="仿宋"/>
          <w:b/>
          <w:bCs/>
          <w:kern w:val="0"/>
          <w:sz w:val="24"/>
          <w:szCs w:val="24"/>
          <w14:ligatures w14:val="none"/>
        </w:rPr>
        <w:t>项目需求清单</w:t>
      </w:r>
    </w:p>
    <w:tbl>
      <w:tblPr>
        <w:tblStyle w:val="7"/>
        <w:tblW w:w="9879"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8"/>
        <w:gridCol w:w="1385"/>
        <w:gridCol w:w="5258"/>
        <w:gridCol w:w="775"/>
        <w:gridCol w:w="687"/>
        <w:gridCol w:w="1186"/>
      </w:tblGrid>
      <w:tr w14:paraId="42C85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trPr>
        <w:tc>
          <w:tcPr>
            <w:tcW w:w="588" w:type="dxa"/>
            <w:tcBorders>
              <w:top w:val="single" w:color="000000" w:sz="4" w:space="0"/>
              <w:left w:val="single" w:color="000000" w:sz="4" w:space="0"/>
              <w:bottom w:val="single" w:color="000000" w:sz="4" w:space="0"/>
              <w:right w:val="single" w:color="000000" w:sz="4" w:space="0"/>
            </w:tcBorders>
            <w:shd w:val="clear" w:color="auto" w:fill="C6D9F0"/>
            <w:vAlign w:val="center"/>
          </w:tcPr>
          <w:p w14:paraId="476F123D">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14:ligatures w14:val="standardContextual"/>
              </w:rPr>
              <w:t>序号</w:t>
            </w:r>
          </w:p>
        </w:tc>
        <w:tc>
          <w:tcPr>
            <w:tcW w:w="1385" w:type="dxa"/>
            <w:tcBorders>
              <w:top w:val="single" w:color="000000" w:sz="4" w:space="0"/>
              <w:left w:val="single" w:color="000000" w:sz="4" w:space="0"/>
              <w:bottom w:val="single" w:color="000000" w:sz="4" w:space="0"/>
              <w:right w:val="single" w:color="000000" w:sz="4" w:space="0"/>
            </w:tcBorders>
            <w:shd w:val="clear" w:color="auto" w:fill="C6D9F0"/>
            <w:vAlign w:val="center"/>
          </w:tcPr>
          <w:p w14:paraId="0C68AB1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14:ligatures w14:val="standardContextual"/>
              </w:rPr>
              <w:t>系统名称</w:t>
            </w:r>
          </w:p>
        </w:tc>
        <w:tc>
          <w:tcPr>
            <w:tcW w:w="5258" w:type="dxa"/>
            <w:tcBorders>
              <w:top w:val="single" w:color="000000" w:sz="4" w:space="0"/>
              <w:left w:val="single" w:color="000000" w:sz="4" w:space="0"/>
              <w:bottom w:val="single" w:color="000000" w:sz="4" w:space="0"/>
              <w:right w:val="single" w:color="000000" w:sz="4" w:space="0"/>
            </w:tcBorders>
            <w:shd w:val="clear" w:color="auto" w:fill="C6D9F0"/>
            <w:vAlign w:val="center"/>
          </w:tcPr>
          <w:p w14:paraId="0741D8CC">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14:ligatures w14:val="standardContextual"/>
              </w:rPr>
              <w:t>功能参数</w:t>
            </w:r>
          </w:p>
        </w:tc>
        <w:tc>
          <w:tcPr>
            <w:tcW w:w="775" w:type="dxa"/>
            <w:tcBorders>
              <w:top w:val="single" w:color="000000" w:sz="4" w:space="0"/>
              <w:left w:val="single" w:color="000000" w:sz="4" w:space="0"/>
              <w:bottom w:val="single" w:color="000000" w:sz="4" w:space="0"/>
              <w:right w:val="single" w:color="000000" w:sz="4" w:space="0"/>
            </w:tcBorders>
            <w:shd w:val="clear" w:color="auto" w:fill="C6D9F0"/>
            <w:vAlign w:val="center"/>
          </w:tcPr>
          <w:p w14:paraId="5885084B">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14:ligatures w14:val="standardContextual"/>
              </w:rPr>
              <w:t>数量</w:t>
            </w:r>
          </w:p>
        </w:tc>
        <w:tc>
          <w:tcPr>
            <w:tcW w:w="687" w:type="dxa"/>
            <w:tcBorders>
              <w:top w:val="single" w:color="000000" w:sz="4" w:space="0"/>
              <w:left w:val="single" w:color="000000" w:sz="4" w:space="0"/>
              <w:bottom w:val="single" w:color="000000" w:sz="4" w:space="0"/>
              <w:right w:val="single" w:color="000000" w:sz="4" w:space="0"/>
            </w:tcBorders>
            <w:shd w:val="clear" w:color="auto" w:fill="C6D9F0"/>
            <w:vAlign w:val="center"/>
          </w:tcPr>
          <w:p w14:paraId="74130F37">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14:ligatures w14:val="standardContextual"/>
              </w:rPr>
              <w:t>单位</w:t>
            </w:r>
          </w:p>
        </w:tc>
        <w:tc>
          <w:tcPr>
            <w:tcW w:w="1186" w:type="dxa"/>
            <w:tcBorders>
              <w:top w:val="single" w:color="000000" w:sz="4" w:space="0"/>
              <w:left w:val="single" w:color="000000" w:sz="4" w:space="0"/>
              <w:bottom w:val="single" w:color="000000" w:sz="4" w:space="0"/>
              <w:right w:val="single" w:color="000000" w:sz="4" w:space="0"/>
            </w:tcBorders>
            <w:shd w:val="clear" w:color="auto" w:fill="C6D9F0"/>
            <w:vAlign w:val="center"/>
          </w:tcPr>
          <w:p w14:paraId="14A6E6C5">
            <w:pPr>
              <w:keepNext w:val="0"/>
              <w:keepLines w:val="0"/>
              <w:widowControl/>
              <w:suppressLineNumbers w:val="0"/>
              <w:jc w:val="center"/>
              <w:textAlignment w:val="center"/>
              <w:rPr>
                <w:rFonts w:hint="default" w:ascii="仿宋" w:hAnsi="仿宋" w:eastAsia="仿宋" w:cs="仿宋"/>
                <w:b/>
                <w:bCs/>
                <w:i w:val="0"/>
                <w:iCs w:val="0"/>
                <w:color w:val="000000"/>
                <w:kern w:val="0"/>
                <w:sz w:val="24"/>
                <w:szCs w:val="24"/>
                <w:u w:val="none"/>
                <w:lang w:val="en-US" w:eastAsia="zh-CN" w:bidi="ar"/>
                <w14:ligatures w14:val="standardContextual"/>
              </w:rPr>
            </w:pPr>
            <w:r>
              <w:rPr>
                <w:rFonts w:hint="eastAsia" w:ascii="仿宋" w:hAnsi="仿宋" w:eastAsia="仿宋" w:cs="仿宋"/>
                <w:b/>
                <w:bCs/>
                <w:i w:val="0"/>
                <w:iCs w:val="0"/>
                <w:color w:val="000000"/>
                <w:kern w:val="0"/>
                <w:sz w:val="24"/>
                <w:szCs w:val="24"/>
                <w:u w:val="none"/>
                <w:lang w:val="en-US" w:eastAsia="zh-CN" w:bidi="ar"/>
                <w14:ligatures w14:val="standardContextual"/>
              </w:rPr>
              <w:t>备注</w:t>
            </w:r>
          </w:p>
        </w:tc>
      </w:tr>
      <w:tr w14:paraId="098CD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381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1</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C16A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人工智能辅助诊断系统</w:t>
            </w:r>
          </w:p>
        </w:tc>
        <w:tc>
          <w:tcPr>
            <w:tcW w:w="5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BE62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1.针对TCT不同制片方式，可以实现对宫颈液基细胞图像的自动分析定位，依据TBS指南对病变细胞进行分类，以及检出微生物感染等病变，实现宫颈液基细胞学人工智能辅助诊断。具有三类证书。</w:t>
            </w:r>
            <w:r>
              <w:rPr>
                <w:rFonts w:hint="eastAsia" w:ascii="仿宋" w:hAnsi="仿宋" w:eastAsia="仿宋" w:cs="仿宋"/>
                <w:i w:val="0"/>
                <w:iCs w:val="0"/>
                <w:color w:val="000000"/>
                <w:kern w:val="0"/>
                <w:sz w:val="24"/>
                <w:szCs w:val="24"/>
                <w:u w:val="none"/>
                <w:lang w:val="en-US" w:eastAsia="zh-CN" w:bidi="ar"/>
                <w14:ligatures w14:val="standardContextual"/>
              </w:rPr>
              <w:br w:type="textWrapping"/>
            </w:r>
            <w:r>
              <w:rPr>
                <w:rFonts w:hint="eastAsia" w:ascii="仿宋" w:hAnsi="仿宋" w:eastAsia="仿宋" w:cs="仿宋"/>
                <w:i w:val="0"/>
                <w:iCs w:val="0"/>
                <w:color w:val="000000"/>
                <w:kern w:val="0"/>
                <w:sz w:val="24"/>
                <w:szCs w:val="24"/>
                <w:u w:val="none"/>
                <w:lang w:val="en-US" w:eastAsia="zh-CN" w:bidi="ar"/>
                <w14:ligatures w14:val="standardContextual"/>
              </w:rPr>
              <w:t>2.针对组织切片，可实现对瘤变区域的自动分析定位并以热力图形式呈现，依据WHO指南对病变类型进行分类，实现胃肠组织活检人工智能辅助诊断。</w:t>
            </w:r>
            <w:r>
              <w:rPr>
                <w:rFonts w:hint="eastAsia" w:ascii="仿宋" w:hAnsi="仿宋" w:eastAsia="仿宋" w:cs="仿宋"/>
                <w:i w:val="0"/>
                <w:iCs w:val="0"/>
                <w:color w:val="000000"/>
                <w:kern w:val="0"/>
                <w:sz w:val="24"/>
                <w:szCs w:val="24"/>
                <w:u w:val="none"/>
                <w:lang w:val="en-US" w:eastAsia="zh-CN" w:bidi="ar"/>
                <w14:ligatures w14:val="standardContextual"/>
              </w:rPr>
              <w:br w:type="textWrapping"/>
            </w:r>
            <w:r>
              <w:rPr>
                <w:rFonts w:hint="eastAsia" w:ascii="仿宋" w:hAnsi="仿宋" w:eastAsia="仿宋" w:cs="仿宋"/>
                <w:i w:val="0"/>
                <w:iCs w:val="0"/>
                <w:color w:val="000000"/>
                <w:kern w:val="0"/>
                <w:sz w:val="24"/>
                <w:szCs w:val="24"/>
                <w:u w:val="none"/>
                <w:lang w:val="en-US" w:eastAsia="zh-CN" w:bidi="ar"/>
                <w14:ligatures w14:val="standardContextual"/>
              </w:rPr>
              <w:t>3.部署病理大模型，深化病理大模型在病理中心的应用，能够应用成熟的模型进行辅助诊断，同时也持续推进模型的训练和使用，针对市病理中心的有地方特色的优势病种的训练，扩展大模型的能力，又提高市病理中心诊断水平。</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5011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1</w:t>
            </w:r>
          </w:p>
        </w:tc>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BD2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套</w:t>
            </w: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0458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14:ligatures w14:val="standardContextual"/>
              </w:rPr>
            </w:pPr>
            <w:r>
              <w:rPr>
                <w:rFonts w:hint="eastAsia" w:ascii="仿宋" w:hAnsi="仿宋" w:eastAsia="仿宋" w:cs="仿宋"/>
                <w:i w:val="0"/>
                <w:iCs w:val="0"/>
                <w:color w:val="000000"/>
                <w:kern w:val="0"/>
                <w:sz w:val="24"/>
                <w:szCs w:val="24"/>
                <w:u w:val="none"/>
                <w:lang w:val="en-US" w:eastAsia="zh-CN" w:bidi="ar"/>
                <w14:ligatures w14:val="standardContextual"/>
              </w:rPr>
              <w:t>1.所报产品需提供硬件参数需求，须满足信创要求;2.系统运行所需的数据库、操作系统、中间件等，须满足信创要求。</w:t>
            </w:r>
          </w:p>
        </w:tc>
      </w:tr>
      <w:tr w14:paraId="0802D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7E07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2</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600E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智慧病理大数据中心</w:t>
            </w:r>
          </w:p>
        </w:tc>
        <w:tc>
          <w:tcPr>
            <w:tcW w:w="5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95F3D">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14:ligatures w14:val="standardContextual"/>
              </w:rPr>
            </w:pPr>
            <w:r>
              <w:rPr>
                <w:rFonts w:hint="eastAsia" w:ascii="仿宋" w:hAnsi="仿宋" w:eastAsia="仿宋" w:cs="仿宋"/>
                <w:i w:val="0"/>
                <w:iCs w:val="0"/>
                <w:color w:val="000000"/>
                <w:kern w:val="0"/>
                <w:sz w:val="24"/>
                <w:szCs w:val="24"/>
                <w:u w:val="none"/>
                <w:lang w:val="en-US" w:eastAsia="zh-CN" w:bidi="ar"/>
                <w14:ligatures w14:val="standardContextual"/>
              </w:rPr>
              <w:t>1.完善数字化建设，实现中心及参与中心业务的成员医院样本的数字化储存，逐步建立以病理诊断中心为主的梧州市乃至桂东南地区数字化病理样本库，为科学研究以及与全国专家对接远程数字病理会诊打下基础。通过对样本库数据的优化，形成不同类型、难易等级、不同亚专科的结构型数据样本子库，为桂东南地区的所有病理医生进行病理诊断作参考，并为病理医生的规范化培训及教学提供读片素材。</w:t>
            </w:r>
          </w:p>
          <w:p w14:paraId="31EE892F">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14:ligatures w14:val="standardContextual"/>
              </w:rPr>
            </w:pPr>
            <w:r>
              <w:rPr>
                <w:rFonts w:hint="eastAsia" w:ascii="仿宋" w:hAnsi="仿宋" w:eastAsia="仿宋" w:cs="仿宋"/>
                <w:i w:val="0"/>
                <w:iCs w:val="0"/>
                <w:color w:val="000000"/>
                <w:kern w:val="0"/>
                <w:sz w:val="24"/>
                <w:szCs w:val="24"/>
                <w:u w:val="none"/>
                <w:lang w:val="en-US" w:eastAsia="zh-CN" w:bidi="ar"/>
                <w14:ligatures w14:val="standardContextual"/>
              </w:rPr>
              <w:t>2.病理中心科研系统是专为医学研究场景设计的数字病理平台，将海量病理数据转化为可挖掘、可分析的科研资产。</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C881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1</w:t>
            </w:r>
          </w:p>
        </w:tc>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C76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套</w:t>
            </w: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7227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14:ligatures w14:val="standardContextual"/>
              </w:rPr>
            </w:pPr>
            <w:r>
              <w:rPr>
                <w:rFonts w:hint="eastAsia" w:ascii="仿宋" w:hAnsi="仿宋" w:eastAsia="仿宋" w:cs="仿宋"/>
                <w:i w:val="0"/>
                <w:iCs w:val="0"/>
                <w:color w:val="000000"/>
                <w:kern w:val="0"/>
                <w:sz w:val="24"/>
                <w:szCs w:val="24"/>
                <w:u w:val="none"/>
                <w:lang w:val="en-US" w:eastAsia="zh-CN" w:bidi="ar"/>
                <w14:ligatures w14:val="standardContextual"/>
              </w:rPr>
              <w:t>1.所报产品需提供硬件参数需求，须满足信创要求;2.系统运行所需的数据库、操作系统、中间件等，须满足信创要求。</w:t>
            </w:r>
          </w:p>
        </w:tc>
      </w:tr>
      <w:tr w14:paraId="703C9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4BF2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3</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62E9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数字化病理诊断系统</w:t>
            </w:r>
          </w:p>
        </w:tc>
        <w:tc>
          <w:tcPr>
            <w:tcW w:w="5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B137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用于病理科样本切片扫描，生成整张全视野的数字化切片，包括细胞学、HE组织学、免疫组化样本。高速无遗漏样本扫描，无人值守，自动故障重启及报警，扫描队列控制，设备统一纳管，自动样本关联和上传，用于即时诊断。扫描的切片保存到数字切片库管理系统，便于查询、追溯及质控。</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D46F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1</w:t>
            </w:r>
          </w:p>
        </w:tc>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3AC9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套</w:t>
            </w: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48C7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14:ligatures w14:val="standardContextual"/>
              </w:rPr>
            </w:pPr>
            <w:r>
              <w:rPr>
                <w:rFonts w:hint="eastAsia" w:ascii="仿宋" w:hAnsi="仿宋" w:eastAsia="仿宋" w:cs="仿宋"/>
                <w:i w:val="0"/>
                <w:iCs w:val="0"/>
                <w:color w:val="000000"/>
                <w:kern w:val="0"/>
                <w:sz w:val="24"/>
                <w:szCs w:val="24"/>
                <w:u w:val="none"/>
                <w:lang w:val="en-US" w:eastAsia="zh-CN" w:bidi="ar"/>
                <w14:ligatures w14:val="standardContextual"/>
              </w:rPr>
              <w:t>1.所报产品需提供硬件参数需求，须满足信创要求;2.系统运行所需的数据库、操作系统、中间件等，须满足信创要求。</w:t>
            </w:r>
          </w:p>
        </w:tc>
      </w:tr>
      <w:tr w14:paraId="40D4D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CA39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4</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BE36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样本库信息化管理系统</w:t>
            </w:r>
          </w:p>
        </w:tc>
        <w:tc>
          <w:tcPr>
            <w:tcW w:w="5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5CA9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样本库信息化管理系统是一套全流程样本管理系统，其管理范围可涵盖样本采集、接收、保存、存储、分发、运输、质控、追溯、弃用等各个环节，并可提供符合相关质量管理体系要求的三级文件管理模块，为用户建设行之有用、高效完善的“实体库+信息库”提供强有力的支持。</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9DBC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1</w:t>
            </w:r>
          </w:p>
        </w:tc>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5C03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套</w:t>
            </w: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B093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14:ligatures w14:val="standardContextual"/>
              </w:rPr>
            </w:pPr>
            <w:r>
              <w:rPr>
                <w:rFonts w:hint="eastAsia" w:ascii="仿宋" w:hAnsi="仿宋" w:eastAsia="仿宋" w:cs="仿宋"/>
                <w:i w:val="0"/>
                <w:iCs w:val="0"/>
                <w:color w:val="000000"/>
                <w:kern w:val="0"/>
                <w:sz w:val="24"/>
                <w:szCs w:val="24"/>
                <w:u w:val="none"/>
                <w:lang w:val="en-US" w:eastAsia="zh-CN" w:bidi="ar"/>
                <w14:ligatures w14:val="standardContextual"/>
              </w:rPr>
              <w:t>1.所报产品需提供硬件参数需求，须满足信创要求;2.系统运行所需的数据库、操作系统、中间件等，须满足信创要求。</w:t>
            </w:r>
          </w:p>
        </w:tc>
      </w:tr>
      <w:tr w14:paraId="4E3E7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B997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5</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EF9A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教学培训系统</w:t>
            </w:r>
          </w:p>
        </w:tc>
        <w:tc>
          <w:tcPr>
            <w:tcW w:w="5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2875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病理诊断中心与自治区及全国知名病理专家建立合作或者顾问关系，以专家、医师到中心现场授课以及读片指导等方式，借助病理会诊网络帮助全市病理医师和技师提升综合能力。依托国内一线医院教学资源，将中心以及中心合作医院的病理科医师、技术人员外送进修以及再教育，建立技术人才培养机制，建设成为病理专业国家住院医师规范化培训基地。集在线教学，读片会、直播、考试，知识库等病理教学、培训与考核。可在线进行标记、讨论。可建立完整的考核题库，医生在线进行考试，后台可统计考试成绩。</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6AAC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1</w:t>
            </w:r>
          </w:p>
        </w:tc>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C60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套</w:t>
            </w: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7C7E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14:ligatures w14:val="standardContextual"/>
              </w:rPr>
            </w:pPr>
            <w:r>
              <w:rPr>
                <w:rFonts w:hint="eastAsia" w:ascii="仿宋" w:hAnsi="仿宋" w:eastAsia="仿宋" w:cs="仿宋"/>
                <w:i w:val="0"/>
                <w:iCs w:val="0"/>
                <w:color w:val="000000"/>
                <w:kern w:val="0"/>
                <w:sz w:val="24"/>
                <w:szCs w:val="24"/>
                <w:u w:val="none"/>
                <w:lang w:val="en-US" w:eastAsia="zh-CN" w:bidi="ar"/>
                <w14:ligatures w14:val="standardContextual"/>
              </w:rPr>
              <w:t>1.所报产品需提供硬件参数需求，须满足信创要求;2.系统运行所需的数据库、操作系统、中间件等，须满足信创要求。</w:t>
            </w:r>
          </w:p>
        </w:tc>
      </w:tr>
      <w:tr w14:paraId="7AFBA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962D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6</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AA09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运营管理信息平台</w:t>
            </w:r>
          </w:p>
        </w:tc>
        <w:tc>
          <w:tcPr>
            <w:tcW w:w="5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E960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市临床病理诊断中心运营管理平台可以实现运营分析，能够对病理中心进行精细化分析，提升运营效率。</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72A6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1</w:t>
            </w:r>
          </w:p>
        </w:tc>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9206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14:ligatures w14:val="standardContextual"/>
              </w:rPr>
              <w:t>套</w:t>
            </w: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E200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14:ligatures w14:val="standardContextual"/>
              </w:rPr>
            </w:pPr>
            <w:r>
              <w:rPr>
                <w:rFonts w:hint="eastAsia" w:ascii="仿宋" w:hAnsi="仿宋" w:eastAsia="仿宋" w:cs="仿宋"/>
                <w:i w:val="0"/>
                <w:iCs w:val="0"/>
                <w:color w:val="000000"/>
                <w:kern w:val="0"/>
                <w:sz w:val="24"/>
                <w:szCs w:val="24"/>
                <w:u w:val="none"/>
                <w:lang w:val="en-US" w:eastAsia="zh-CN" w:bidi="ar"/>
                <w14:ligatures w14:val="standardContextual"/>
              </w:rPr>
              <w:t>1.所报产品需提供硬件参数需求，须满足信创要求</w:t>
            </w:r>
            <w:bookmarkStart w:id="0" w:name="_GoBack"/>
            <w:bookmarkEnd w:id="0"/>
            <w:r>
              <w:rPr>
                <w:rFonts w:hint="eastAsia" w:ascii="仿宋" w:hAnsi="仿宋" w:eastAsia="仿宋" w:cs="仿宋"/>
                <w:i w:val="0"/>
                <w:iCs w:val="0"/>
                <w:color w:val="000000"/>
                <w:kern w:val="0"/>
                <w:sz w:val="24"/>
                <w:szCs w:val="24"/>
                <w:u w:val="none"/>
                <w:lang w:val="en-US" w:eastAsia="zh-CN" w:bidi="ar"/>
                <w14:ligatures w14:val="standardContextual"/>
              </w:rPr>
              <w:t>;2.系统运行所需的数据库、操作系统、中间件等，须满足信创要求。</w:t>
            </w:r>
          </w:p>
        </w:tc>
      </w:tr>
      <w:tr w14:paraId="12E17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4B56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14:ligatures w14:val="standardContextual"/>
              </w:rPr>
            </w:pPr>
            <w:r>
              <w:rPr>
                <w:rFonts w:hint="eastAsia" w:ascii="仿宋" w:hAnsi="仿宋" w:eastAsia="仿宋" w:cs="仿宋"/>
                <w:i w:val="0"/>
                <w:iCs w:val="0"/>
                <w:color w:val="000000"/>
                <w:kern w:val="0"/>
                <w:sz w:val="24"/>
                <w:szCs w:val="24"/>
                <w:u w:val="none"/>
                <w:lang w:val="en-US" w:eastAsia="zh-CN" w:bidi="ar"/>
                <w14:ligatures w14:val="standardContextual"/>
              </w:rPr>
              <w:t>7</w:t>
            </w: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3FE9A">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14:ligatures w14:val="standardContextual"/>
              </w:rPr>
            </w:pPr>
            <w:r>
              <w:rPr>
                <w:rFonts w:hint="eastAsia" w:ascii="仿宋" w:hAnsi="仿宋" w:eastAsia="仿宋" w:cs="仿宋"/>
                <w:i w:val="0"/>
                <w:iCs w:val="0"/>
                <w:color w:val="000000"/>
                <w:kern w:val="0"/>
                <w:sz w:val="24"/>
                <w:szCs w:val="24"/>
                <w:u w:val="none"/>
                <w:lang w:val="en-US" w:eastAsia="zh-CN" w:bidi="ar"/>
                <w14:ligatures w14:val="standardContextual"/>
              </w:rPr>
              <w:t>接口对接</w:t>
            </w:r>
          </w:p>
        </w:tc>
        <w:tc>
          <w:tcPr>
            <w:tcW w:w="5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BC0C6">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14:ligatures w14:val="standardContextual"/>
              </w:rPr>
            </w:pPr>
            <w:r>
              <w:rPr>
                <w:rFonts w:hint="eastAsia" w:ascii="仿宋" w:hAnsi="仿宋" w:eastAsia="仿宋" w:cs="仿宋"/>
                <w:i w:val="0"/>
                <w:iCs w:val="0"/>
                <w:color w:val="000000"/>
                <w:kern w:val="0"/>
                <w:sz w:val="24"/>
                <w:szCs w:val="24"/>
                <w:u w:val="none"/>
                <w:lang w:val="en-US" w:eastAsia="zh-CN" w:bidi="ar"/>
                <w14:ligatures w14:val="standardContextual"/>
              </w:rPr>
              <w:t>信息系统接口对接</w:t>
            </w: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92B8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14:ligatures w14:val="standardContextual"/>
              </w:rPr>
            </w:pPr>
            <w:r>
              <w:rPr>
                <w:rFonts w:hint="eastAsia" w:ascii="仿宋" w:hAnsi="仿宋" w:eastAsia="仿宋" w:cs="仿宋"/>
                <w:i w:val="0"/>
                <w:iCs w:val="0"/>
                <w:color w:val="000000"/>
                <w:kern w:val="0"/>
                <w:sz w:val="24"/>
                <w:szCs w:val="24"/>
                <w:u w:val="none"/>
                <w:lang w:val="en-US" w:eastAsia="zh-CN" w:bidi="ar"/>
                <w14:ligatures w14:val="standardContextual"/>
              </w:rPr>
              <w:t>1</w:t>
            </w:r>
          </w:p>
        </w:tc>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71CCF">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14:ligatures w14:val="standardContextual"/>
              </w:rPr>
            </w:pPr>
            <w:r>
              <w:rPr>
                <w:rFonts w:hint="eastAsia" w:ascii="仿宋" w:hAnsi="仿宋" w:eastAsia="仿宋" w:cs="仿宋"/>
                <w:i w:val="0"/>
                <w:iCs w:val="0"/>
                <w:color w:val="000000"/>
                <w:kern w:val="0"/>
                <w:sz w:val="24"/>
                <w:szCs w:val="24"/>
                <w:u w:val="none"/>
                <w:lang w:val="en-US" w:eastAsia="zh-CN" w:bidi="ar"/>
                <w14:ligatures w14:val="standardContextual"/>
              </w:rPr>
              <w:t>项</w:t>
            </w: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5ED53">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14:ligatures w14:val="standardContextual"/>
              </w:rPr>
            </w:pPr>
            <w:r>
              <w:rPr>
                <w:rFonts w:hint="eastAsia" w:ascii="仿宋" w:hAnsi="仿宋" w:eastAsia="仿宋" w:cs="仿宋"/>
                <w:i w:val="0"/>
                <w:iCs w:val="0"/>
                <w:color w:val="000000"/>
                <w:kern w:val="0"/>
                <w:sz w:val="24"/>
                <w:szCs w:val="24"/>
                <w:u w:val="none"/>
                <w:lang w:val="en-US" w:eastAsia="zh-CN" w:bidi="ar"/>
                <w14:ligatures w14:val="standardContextual"/>
              </w:rPr>
              <w:t>1.所报产品需提供硬件参数需求，须满足信创要求;2.系统运行所需的操作系统、中间件等，须满足信创要求。</w:t>
            </w:r>
          </w:p>
        </w:tc>
      </w:tr>
      <w:tr w14:paraId="4AFD6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BE919">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14:ligatures w14:val="standardContextual"/>
              </w:rPr>
            </w:pPr>
          </w:p>
        </w:tc>
        <w:tc>
          <w:tcPr>
            <w:tcW w:w="1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DCA01">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14:ligatures w14:val="standardContextual"/>
              </w:rPr>
            </w:pPr>
          </w:p>
        </w:tc>
        <w:tc>
          <w:tcPr>
            <w:tcW w:w="5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2060C">
            <w:pPr>
              <w:keepNext w:val="0"/>
              <w:keepLines w:val="0"/>
              <w:widowControl/>
              <w:suppressLineNumbers w:val="0"/>
              <w:jc w:val="left"/>
              <w:textAlignment w:val="center"/>
              <w:rPr>
                <w:rFonts w:hint="default" w:ascii="仿宋" w:hAnsi="仿宋" w:eastAsia="仿宋" w:cs="仿宋"/>
                <w:i w:val="0"/>
                <w:iCs w:val="0"/>
                <w:color w:val="000000"/>
                <w:kern w:val="0"/>
                <w:sz w:val="24"/>
                <w:szCs w:val="24"/>
                <w:u w:val="none"/>
                <w:lang w:val="en-US" w:eastAsia="zh-CN" w:bidi="ar"/>
                <w14:ligatures w14:val="standardContextual"/>
              </w:rPr>
            </w:pPr>
          </w:p>
        </w:tc>
        <w:tc>
          <w:tcPr>
            <w:tcW w:w="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916C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14:ligatures w14:val="standardContextual"/>
              </w:rPr>
            </w:pPr>
          </w:p>
        </w:tc>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67E1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14:ligatures w14:val="standardContextual"/>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2B4D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14:ligatures w14:val="standardContextual"/>
              </w:rPr>
            </w:pPr>
          </w:p>
        </w:tc>
      </w:tr>
    </w:tbl>
    <w:p w14:paraId="06FB7B40">
      <w:pPr>
        <w:keepNext w:val="0"/>
        <w:keepLines w:val="0"/>
        <w:widowControl/>
        <w:suppressLineNumbers w:val="0"/>
        <w:jc w:val="left"/>
        <w:textAlignment w:val="center"/>
        <w:rPr>
          <w:rFonts w:hint="eastAsia" w:ascii="仿宋" w:hAnsi="仿宋" w:eastAsia="仿宋" w:cs="仿宋"/>
          <w:b/>
          <w:bCs/>
          <w:i w:val="0"/>
          <w:iCs w:val="0"/>
          <w:color w:val="auto"/>
          <w:kern w:val="0"/>
          <w:sz w:val="22"/>
          <w:szCs w:val="22"/>
          <w:u w:val="none"/>
          <w:lang w:val="en-US" w:eastAsia="zh-CN" w:bidi="ar"/>
          <w14:ligatures w14:val="standardContextual"/>
        </w:rPr>
      </w:pPr>
    </w:p>
    <w:p w14:paraId="5D17A911">
      <w:pPr>
        <w:keepNext w:val="0"/>
        <w:keepLines w:val="0"/>
        <w:widowControl/>
        <w:suppressLineNumbers w:val="0"/>
        <w:jc w:val="left"/>
        <w:textAlignment w:val="center"/>
        <w:rPr>
          <w:rFonts w:hint="eastAsia" w:ascii="仿宋" w:hAnsi="仿宋" w:eastAsia="仿宋" w:cs="仿宋"/>
          <w:b/>
          <w:bCs/>
          <w:i w:val="0"/>
          <w:iCs w:val="0"/>
          <w:color w:val="auto"/>
          <w:kern w:val="0"/>
          <w:sz w:val="22"/>
          <w:szCs w:val="22"/>
          <w:u w:val="none"/>
          <w:lang w:val="en-US" w:eastAsia="zh-CN" w:bidi="ar"/>
          <w14:ligatures w14:val="standardContextual"/>
        </w:rPr>
      </w:pPr>
    </w:p>
    <w:p w14:paraId="1BF0FB16">
      <w:pPr>
        <w:keepNext w:val="0"/>
        <w:keepLines w:val="0"/>
        <w:widowControl/>
        <w:suppressLineNumbers w:val="0"/>
        <w:jc w:val="left"/>
        <w:textAlignment w:val="center"/>
        <w:rPr>
          <w:rFonts w:hint="eastAsia" w:ascii="仿宋" w:hAnsi="仿宋" w:eastAsia="仿宋" w:cs="仿宋"/>
          <w:b/>
          <w:bCs/>
          <w:i w:val="0"/>
          <w:iCs w:val="0"/>
          <w:color w:val="auto"/>
          <w:kern w:val="0"/>
          <w:sz w:val="22"/>
          <w:szCs w:val="22"/>
          <w:u w:val="none"/>
          <w:lang w:val="en-US" w:eastAsia="zh-CN" w:bidi="ar"/>
          <w14:ligatures w14:val="standardContextual"/>
        </w:rPr>
      </w:pPr>
    </w:p>
    <w:p w14:paraId="1D51DF45">
      <w:pPr>
        <w:jc w:val="left"/>
        <w:rPr>
          <w:rFonts w:hint="default" w:ascii="仿宋" w:hAnsi="仿宋" w:eastAsia="仿宋" w:cs="仿宋"/>
          <w:sz w:val="24"/>
          <w:szCs w:val="28"/>
          <w:lang w:val="en-US" w:eastAsia="zh-CN"/>
        </w:rPr>
      </w:pPr>
    </w:p>
    <w:p w14:paraId="253754F3">
      <w:pPr>
        <w:jc w:val="left"/>
        <w:rPr>
          <w:rFonts w:hint="eastAsia"/>
        </w:rPr>
      </w:pPr>
    </w:p>
    <w:sectPr>
      <w:headerReference r:id="rId3" w:type="default"/>
      <w:footerReference r:id="rId4" w:type="default"/>
      <w:pgSz w:w="11906" w:h="16838"/>
      <w:pgMar w:top="1134" w:right="1080" w:bottom="1134" w:left="1080"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26041501"/>
      <w:docPartObj>
        <w:docPartGallery w:val="autotext"/>
      </w:docPartObj>
    </w:sdtPr>
    <w:sdtContent>
      <w:p w14:paraId="3044D20C">
        <w:pPr>
          <w:pStyle w:val="5"/>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C2C0D">
    <w:pPr>
      <w:pStyle w:val="6"/>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D889DB"/>
    <w:multiLevelType w:val="singleLevel"/>
    <w:tmpl w:val="D2D889DB"/>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E6A"/>
    <w:rsid w:val="00094243"/>
    <w:rsid w:val="00103267"/>
    <w:rsid w:val="0011134B"/>
    <w:rsid w:val="00243F02"/>
    <w:rsid w:val="002602A5"/>
    <w:rsid w:val="002970A3"/>
    <w:rsid w:val="002D4121"/>
    <w:rsid w:val="002E157B"/>
    <w:rsid w:val="00396AAD"/>
    <w:rsid w:val="003C0913"/>
    <w:rsid w:val="0044299D"/>
    <w:rsid w:val="00491939"/>
    <w:rsid w:val="00502943"/>
    <w:rsid w:val="00623AC4"/>
    <w:rsid w:val="0065045C"/>
    <w:rsid w:val="00653525"/>
    <w:rsid w:val="006F213C"/>
    <w:rsid w:val="006F79B9"/>
    <w:rsid w:val="007045F6"/>
    <w:rsid w:val="007268DC"/>
    <w:rsid w:val="00796553"/>
    <w:rsid w:val="007A392A"/>
    <w:rsid w:val="00832E6A"/>
    <w:rsid w:val="00852BD0"/>
    <w:rsid w:val="0089542E"/>
    <w:rsid w:val="008B0658"/>
    <w:rsid w:val="008E3448"/>
    <w:rsid w:val="008F2738"/>
    <w:rsid w:val="00902C2A"/>
    <w:rsid w:val="009041CE"/>
    <w:rsid w:val="00951311"/>
    <w:rsid w:val="009F057D"/>
    <w:rsid w:val="00A25BB5"/>
    <w:rsid w:val="00A65A04"/>
    <w:rsid w:val="00AE2833"/>
    <w:rsid w:val="00AF38FD"/>
    <w:rsid w:val="00B42159"/>
    <w:rsid w:val="00B62FE1"/>
    <w:rsid w:val="00BE34F5"/>
    <w:rsid w:val="00C47441"/>
    <w:rsid w:val="00C85B7F"/>
    <w:rsid w:val="00CD61B7"/>
    <w:rsid w:val="00CF6A6B"/>
    <w:rsid w:val="00D00CF1"/>
    <w:rsid w:val="00D510E0"/>
    <w:rsid w:val="00DC7C82"/>
    <w:rsid w:val="00E040C8"/>
    <w:rsid w:val="00E201FD"/>
    <w:rsid w:val="00E5292F"/>
    <w:rsid w:val="00E91803"/>
    <w:rsid w:val="00F11368"/>
    <w:rsid w:val="00FE2F84"/>
    <w:rsid w:val="023A4BFB"/>
    <w:rsid w:val="074E2405"/>
    <w:rsid w:val="07B02D9F"/>
    <w:rsid w:val="08400A92"/>
    <w:rsid w:val="085B1D7F"/>
    <w:rsid w:val="089C5B45"/>
    <w:rsid w:val="08BD1ED9"/>
    <w:rsid w:val="0ACF22CD"/>
    <w:rsid w:val="0C1D1C15"/>
    <w:rsid w:val="0CD8218B"/>
    <w:rsid w:val="0DFF41AE"/>
    <w:rsid w:val="0EBB296E"/>
    <w:rsid w:val="0EFC5FAE"/>
    <w:rsid w:val="0F5372FC"/>
    <w:rsid w:val="0FC1304C"/>
    <w:rsid w:val="10E631CB"/>
    <w:rsid w:val="14A979BF"/>
    <w:rsid w:val="168D57EA"/>
    <w:rsid w:val="17F32C3D"/>
    <w:rsid w:val="191F33DF"/>
    <w:rsid w:val="1B5012FE"/>
    <w:rsid w:val="1CB52FE5"/>
    <w:rsid w:val="1D1D2083"/>
    <w:rsid w:val="1E0565AE"/>
    <w:rsid w:val="203B3799"/>
    <w:rsid w:val="250749B9"/>
    <w:rsid w:val="25AC3281"/>
    <w:rsid w:val="25D6438C"/>
    <w:rsid w:val="27007D97"/>
    <w:rsid w:val="2A212908"/>
    <w:rsid w:val="2A9F6419"/>
    <w:rsid w:val="2ABB324B"/>
    <w:rsid w:val="2B77030E"/>
    <w:rsid w:val="2C0111D8"/>
    <w:rsid w:val="2DB60350"/>
    <w:rsid w:val="30CD29D1"/>
    <w:rsid w:val="322F37A1"/>
    <w:rsid w:val="33833CB3"/>
    <w:rsid w:val="33B73A4E"/>
    <w:rsid w:val="33D458F1"/>
    <w:rsid w:val="35733BFD"/>
    <w:rsid w:val="35A66909"/>
    <w:rsid w:val="36A64DF9"/>
    <w:rsid w:val="37314050"/>
    <w:rsid w:val="37B35F8E"/>
    <w:rsid w:val="380C5A88"/>
    <w:rsid w:val="395B06D6"/>
    <w:rsid w:val="3A9241E9"/>
    <w:rsid w:val="3BAA628A"/>
    <w:rsid w:val="3C396AE0"/>
    <w:rsid w:val="3D7D30FD"/>
    <w:rsid w:val="405745EF"/>
    <w:rsid w:val="42D02D38"/>
    <w:rsid w:val="464C44CA"/>
    <w:rsid w:val="46DA1AD6"/>
    <w:rsid w:val="47CF2840"/>
    <w:rsid w:val="4A282B58"/>
    <w:rsid w:val="4CC76658"/>
    <w:rsid w:val="4F1F09CE"/>
    <w:rsid w:val="50B43398"/>
    <w:rsid w:val="54C0092F"/>
    <w:rsid w:val="5856124E"/>
    <w:rsid w:val="5B955B74"/>
    <w:rsid w:val="5E0A0EA9"/>
    <w:rsid w:val="5F0279C4"/>
    <w:rsid w:val="61160402"/>
    <w:rsid w:val="64656A2B"/>
    <w:rsid w:val="65FB289F"/>
    <w:rsid w:val="663A7A43"/>
    <w:rsid w:val="67035CA5"/>
    <w:rsid w:val="68273FF7"/>
    <w:rsid w:val="68F0088D"/>
    <w:rsid w:val="69693773"/>
    <w:rsid w:val="6AFC5C0F"/>
    <w:rsid w:val="6EEE3F8B"/>
    <w:rsid w:val="6EFB4608"/>
    <w:rsid w:val="6F076D59"/>
    <w:rsid w:val="6F2D3138"/>
    <w:rsid w:val="70B2433A"/>
    <w:rsid w:val="7105099B"/>
    <w:rsid w:val="7125290F"/>
    <w:rsid w:val="72593242"/>
    <w:rsid w:val="72BC64D1"/>
    <w:rsid w:val="72E152FB"/>
    <w:rsid w:val="741D3AA9"/>
    <w:rsid w:val="754B6EA0"/>
    <w:rsid w:val="761E1C6A"/>
    <w:rsid w:val="77CF7BCC"/>
    <w:rsid w:val="78656BA2"/>
    <w:rsid w:val="7B9847EC"/>
    <w:rsid w:val="7CF854F4"/>
    <w:rsid w:val="7F3853C6"/>
    <w:rsid w:val="7F6747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1"/>
    <w:basedOn w:val="1"/>
    <w:next w:val="1"/>
    <w:link w:val="11"/>
    <w:qFormat/>
    <w:uiPriority w:val="0"/>
    <w:pPr>
      <w:keepNext/>
      <w:keepLines/>
      <w:spacing w:line="360" w:lineRule="auto"/>
      <w:outlineLvl w:val="0"/>
    </w:pPr>
    <w:rPr>
      <w:b/>
      <w:kern w:val="44"/>
      <w:sz w:val="24"/>
      <w:szCs w:val="24"/>
    </w:rPr>
  </w:style>
  <w:style w:type="paragraph" w:styleId="3">
    <w:name w:val="heading 3"/>
    <w:basedOn w:val="1"/>
    <w:next w:val="1"/>
    <w:link w:val="13"/>
    <w:semiHidden/>
    <w:unhideWhenUsed/>
    <w:qFormat/>
    <w:uiPriority w:val="9"/>
    <w:pPr>
      <w:keepNext/>
      <w:keepLines/>
      <w:spacing w:before="260" w:after="260" w:line="416" w:lineRule="auto"/>
      <w:outlineLvl w:val="2"/>
    </w:pPr>
    <w:rPr>
      <w:b/>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tabs>
        <w:tab w:val="center" w:pos="4153"/>
        <w:tab w:val="right" w:pos="8306"/>
      </w:tabs>
      <w:snapToGrid w:val="0"/>
      <w:jc w:val="center"/>
    </w:pPr>
    <w:rPr>
      <w:sz w:val="18"/>
      <w:szCs w:val="18"/>
    </w:rPr>
  </w:style>
  <w:style w:type="character" w:customStyle="1" w:styleId="9">
    <w:name w:val="页眉 字符"/>
    <w:basedOn w:val="8"/>
    <w:link w:val="6"/>
    <w:qFormat/>
    <w:uiPriority w:val="99"/>
    <w:rPr>
      <w:sz w:val="18"/>
      <w:szCs w:val="18"/>
    </w:rPr>
  </w:style>
  <w:style w:type="character" w:customStyle="1" w:styleId="10">
    <w:name w:val="页脚 字符"/>
    <w:basedOn w:val="8"/>
    <w:link w:val="5"/>
    <w:qFormat/>
    <w:uiPriority w:val="99"/>
    <w:rPr>
      <w:sz w:val="18"/>
      <w:szCs w:val="18"/>
    </w:rPr>
  </w:style>
  <w:style w:type="character" w:customStyle="1" w:styleId="11">
    <w:name w:val="标题 1 字符"/>
    <w:basedOn w:val="8"/>
    <w:link w:val="2"/>
    <w:qFormat/>
    <w:uiPriority w:val="0"/>
    <w:rPr>
      <w:b/>
      <w:kern w:val="44"/>
      <w:sz w:val="24"/>
      <w:szCs w:val="24"/>
    </w:rPr>
  </w:style>
  <w:style w:type="paragraph" w:styleId="12">
    <w:name w:val="List Paragraph"/>
    <w:basedOn w:val="1"/>
    <w:qFormat/>
    <w:uiPriority w:val="34"/>
    <w:pPr>
      <w:ind w:firstLine="420" w:firstLineChars="200"/>
    </w:pPr>
  </w:style>
  <w:style w:type="character" w:customStyle="1" w:styleId="13">
    <w:name w:val="标题 3 字符"/>
    <w:basedOn w:val="8"/>
    <w:link w:val="3"/>
    <w:semiHidden/>
    <w:qFormat/>
    <w:uiPriority w:val="9"/>
    <w:rPr>
      <w:b/>
      <w:bCs/>
      <w:sz w:val="32"/>
      <w:szCs w:val="32"/>
    </w:rPr>
  </w:style>
  <w:style w:type="character" w:customStyle="1" w:styleId="14">
    <w:name w:val="font71"/>
    <w:basedOn w:val="8"/>
    <w:qFormat/>
    <w:uiPriority w:val="0"/>
    <w:rPr>
      <w:rFonts w:hint="eastAsia" w:ascii="微软雅黑" w:hAnsi="微软雅黑" w:eastAsia="微软雅黑" w:cs="微软雅黑"/>
      <w:color w:val="000000"/>
      <w:sz w:val="20"/>
      <w:szCs w:val="20"/>
      <w:u w:val="none"/>
    </w:rPr>
  </w:style>
  <w:style w:type="character" w:customStyle="1" w:styleId="15">
    <w:name w:val="font51"/>
    <w:basedOn w:val="8"/>
    <w:qFormat/>
    <w:uiPriority w:val="0"/>
    <w:rPr>
      <w:rFonts w:ascii="Arial" w:hAnsi="Arial" w:cs="Arial"/>
      <w:color w:val="000000"/>
      <w:sz w:val="20"/>
      <w:szCs w:val="20"/>
      <w:u w:val="none"/>
    </w:rPr>
  </w:style>
  <w:style w:type="character" w:customStyle="1" w:styleId="16">
    <w:name w:val="font41"/>
    <w:basedOn w:val="8"/>
    <w:qFormat/>
    <w:uiPriority w:val="0"/>
    <w:rPr>
      <w:rFonts w:hint="eastAsia" w:ascii="仿宋" w:hAnsi="仿宋" w:eastAsia="仿宋" w:cs="仿宋"/>
      <w:color w:val="000000"/>
      <w:sz w:val="20"/>
      <w:szCs w:val="20"/>
      <w:u w:val="none"/>
    </w:rPr>
  </w:style>
  <w:style w:type="character" w:customStyle="1" w:styleId="17">
    <w:name w:val="font31"/>
    <w:basedOn w:val="8"/>
    <w:qFormat/>
    <w:uiPriority w:val="0"/>
    <w:rPr>
      <w:rFonts w:hint="eastAsia" w:ascii="仿宋" w:hAnsi="仿宋" w:eastAsia="仿宋" w:cs="仿宋"/>
      <w:b/>
      <w:bCs/>
      <w:color w:val="000000"/>
      <w:sz w:val="20"/>
      <w:szCs w:val="20"/>
      <w:u w:val="none"/>
    </w:rPr>
  </w:style>
  <w:style w:type="character" w:customStyle="1" w:styleId="18">
    <w:name w:val="font21"/>
    <w:basedOn w:val="8"/>
    <w:qFormat/>
    <w:uiPriority w:val="0"/>
    <w:rPr>
      <w:rFonts w:hint="eastAsia" w:ascii="仿宋" w:hAnsi="仿宋" w:eastAsia="仿宋" w:cs="仿宋"/>
      <w:color w:val="000000"/>
      <w:sz w:val="22"/>
      <w:szCs w:val="22"/>
      <w:u w:val="none"/>
    </w:rPr>
  </w:style>
  <w:style w:type="character" w:customStyle="1" w:styleId="19">
    <w:name w:val="font11"/>
    <w:basedOn w:val="8"/>
    <w:qFormat/>
    <w:uiPriority w:val="0"/>
    <w:rPr>
      <w:rFonts w:hint="eastAsia" w:ascii="仿宋" w:hAnsi="仿宋" w:eastAsia="仿宋" w:cs="仿宋"/>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e4919bdf-9aa9-45af-b246-81bec2b32619</errorID>
      <errorWord>分析选</errorWord>
      <group>L1_Word</group>
      <groupName>字词问题</groupName>
      <ability>L2_Typo</ability>
      <abilityName>字词错误</abilityName>
      <candidateList>
        <item>分析</item>
      </candidateList>
      <explain/>
      <paraID>40EBE62A</paraID>
      <start>30</start>
      <end>33</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6c93b-40c1-439b-99a9-483782aaa810}">
  <ds:schemaRefs/>
</ds:datastoreItem>
</file>

<file path=customXml/itemProps2.xml><?xml version="1.0" encoding="utf-8"?>
<ds:datastoreItem xmlns:ds="http://schemas.openxmlformats.org/officeDocument/2006/customXml" ds:itemID="{211B809D-D8FB-472F-8F12-19BFCF424A13}">
  <ds:schemaRefs/>
</ds:datastoreItem>
</file>

<file path=docProps/app.xml><?xml version="1.0" encoding="utf-8"?>
<Properties xmlns="http://schemas.openxmlformats.org/officeDocument/2006/extended-properties" xmlns:vt="http://schemas.openxmlformats.org/officeDocument/2006/docPropsVTypes">
  <Template>Normal.dotm</Template>
  <Pages>4</Pages>
  <Words>2509</Words>
  <Characters>2546</Characters>
  <Lines>109</Lines>
  <Paragraphs>30</Paragraphs>
  <TotalTime>1</TotalTime>
  <ScaleCrop>false</ScaleCrop>
  <LinksUpToDate>false</LinksUpToDate>
  <CharactersWithSpaces>2546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2025-02-20T13:42:00Z</dcterms:created>
  <dc:creator>Administrators</dc:creator>
  <cp:lastModifiedBy>panliuwen</cp:lastModifiedBy>
  <dcterms:modified xsi:type="dcterms:W3CDTF">2026-08-19T02:22:45Z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9E264AAE468941A989319DD057B051C3</vt:lpwstr>
  </property>
  <property fmtid="{D5CDD505-2E9C-101B-9397-08002B2CF9AE}" pid="4" name="KSOTemplateDocerSaveRecord">
    <vt:lpwstr>eyJoZGlkIjoiOWZjZTRkMzA3MjQ4YzA4NWFjZjk1ZGFkMWY2ZDQzYWUiLCJ1c2VySWQiOiIyMjk4MjI4NTUifQ==</vt:lpwstr>
  </property>
</Properties>
</file>