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DCBC8">
      <w:pPr>
        <w:pStyle w:val="7"/>
        <w:keepNext w:val="0"/>
        <w:keepLines w:val="0"/>
        <w:pageBreakBefore w:val="0"/>
        <w:widowControl w:val="0"/>
        <w:numPr>
          <w:ilvl w:val="0"/>
          <w:numId w:val="0"/>
        </w:numPr>
        <w:kinsoku/>
        <w:wordWrap/>
        <w:overflowPunct/>
        <w:topLinePunct w:val="0"/>
        <w:autoSpaceDE/>
        <w:autoSpaceDN/>
        <w:bidi w:val="0"/>
        <w:adjustRightInd/>
        <w:snapToGrid/>
        <w:spacing w:beforeLines="50" w:afterLines="50" w:line="276" w:lineRule="auto"/>
        <w:ind w:right="181" w:rightChars="0"/>
        <w:jc w:val="center"/>
        <w:textAlignment w:val="auto"/>
        <w:rPr>
          <w:rFonts w:hint="eastAsia" w:ascii="仿宋_GB2312" w:hAnsi="仿宋_GB2312" w:eastAsia="仿宋_GB2312" w:cs="仿宋_GB2312"/>
          <w:b/>
          <w:sz w:val="28"/>
          <w:szCs w:val="28"/>
        </w:rPr>
      </w:pPr>
      <w:bookmarkStart w:id="0" w:name="_GoBack"/>
      <w:bookmarkEnd w:id="0"/>
      <w:r>
        <w:rPr>
          <w:rFonts w:hint="eastAsia" w:ascii="仿宋_GB2312" w:hAnsi="仿宋_GB2312" w:eastAsia="仿宋_GB2312" w:cs="仿宋_GB2312"/>
          <w:b/>
          <w:sz w:val="28"/>
          <w:szCs w:val="28"/>
          <w:lang w:val="en-US" w:eastAsia="zh-CN"/>
        </w:rPr>
        <w:t>远程手术示教指导系统功能需求</w:t>
      </w:r>
      <w:r>
        <w:rPr>
          <w:rFonts w:hint="eastAsia" w:ascii="仿宋_GB2312" w:hAnsi="仿宋_GB2312" w:eastAsia="仿宋_GB2312" w:cs="仿宋_GB2312"/>
          <w:b/>
          <w:sz w:val="28"/>
          <w:szCs w:val="28"/>
        </w:rPr>
        <w:t>参数</w:t>
      </w:r>
    </w:p>
    <w:tbl>
      <w:tblPr>
        <w:tblStyle w:val="2"/>
        <w:tblW w:w="494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935"/>
        <w:gridCol w:w="1555"/>
        <w:gridCol w:w="10799"/>
      </w:tblGrid>
      <w:tr w14:paraId="703C2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9976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sz w:val="24"/>
                <w:szCs w:val="24"/>
              </w:rPr>
              <w:t>序号</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00DD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sz w:val="24"/>
                <w:szCs w:val="24"/>
              </w:rPr>
              <w:t>品目</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D44D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sz w:val="24"/>
                <w:szCs w:val="24"/>
              </w:rPr>
              <w:t>模块</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F40D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sz w:val="24"/>
                <w:szCs w:val="24"/>
              </w:rPr>
              <w:t>参数</w:t>
            </w:r>
            <w:r>
              <w:rPr>
                <w:rFonts w:hint="eastAsia" w:ascii="仿宋_GB2312" w:hAnsi="仿宋_GB2312" w:eastAsia="仿宋_GB2312" w:cs="仿宋_GB2312"/>
                <w:sz w:val="24"/>
                <w:szCs w:val="24"/>
                <w:lang w:val="en-US" w:eastAsia="zh-CN"/>
              </w:rPr>
              <w:t>需求</w:t>
            </w:r>
          </w:p>
        </w:tc>
      </w:tr>
      <w:tr w14:paraId="7B0C7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4" w:hRule="atLeast"/>
          <w:jc w:val="center"/>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0195B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5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160B2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诊室系统</w:t>
            </w: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1EC09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低延时影像采集模块</w:t>
            </w:r>
          </w:p>
        </w:tc>
        <w:tc>
          <w:tcPr>
            <w:tcW w:w="64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16842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1.HDMI高清多媒体接口≥1路，VGA接口视频输入≥1路，1路HDMI和1路VGA环通输出；</w:t>
            </w:r>
          </w:p>
          <w:p w14:paraId="5AA985E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2.支持H.265、H.264视频编码，主、子码流可独立配置，VGA画面支持位置调整和画面区域裁剪功能；</w:t>
            </w:r>
          </w:p>
          <w:p w14:paraId="33EDB89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3.支持1080P、720P等高清分辨率编码，视频输入源自适应识别，也可固定输入源；</w:t>
            </w:r>
          </w:p>
          <w:p w14:paraId="436CDF6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4.音频输入源可选HDMI或Audio in，音频编码格式支持：AAC_LC、G711a、G711u；支持RTMP、ONVIF、NTP、RTSP等网络协议；</w:t>
            </w:r>
          </w:p>
          <w:p w14:paraId="0CAD170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5.支持ehome、GB28181协议接入平台；</w:t>
            </w:r>
          </w:p>
          <w:p w14:paraId="43135EA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6.输入输出总带宽60Mbps；视频参数：视频压缩标准H.265;H.264；音频参数：音频输出≥1路3.5mm音频接口；音频输入≥1路3.5mm音频接口；音频压缩标准：AAC;G711.a;G711.u。</w:t>
            </w:r>
          </w:p>
        </w:tc>
      </w:tr>
      <w:tr w14:paraId="1A6E1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7" w:hRule="atLeast"/>
          <w:jc w:val="center"/>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2E42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81B4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36D9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93"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5C85FE8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55B5C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5DD5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3B014">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C58D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视野摄像模块</w:t>
            </w:r>
          </w:p>
        </w:tc>
        <w:tc>
          <w:tcPr>
            <w:tcW w:w="6493" w:type="dxa"/>
            <w:tcBorders>
              <w:top w:val="single" w:color="auto" w:sz="4" w:space="0"/>
              <w:left w:val="single" w:color="000000" w:sz="4" w:space="0"/>
              <w:bottom w:val="single" w:color="auto" w:sz="4" w:space="0"/>
              <w:right w:val="single" w:color="000000" w:sz="4" w:space="0"/>
            </w:tcBorders>
            <w:shd w:val="clear" w:color="auto" w:fill="auto"/>
            <w:vAlign w:val="center"/>
          </w:tcPr>
          <w:p w14:paraId="63DCC83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1.基础参数传感器类型1/2.8＂progressive scan CMOS；最的低照度：彩色：0.005Lux @ (F1.6，AGC ON)；黑白：0.001Lux @ (F1.6，AGC ON)，快门速度不低于1/30,000s；</w:t>
            </w:r>
          </w:p>
          <w:p w14:paraId="0C26769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2.日夜转换模式：自动ICR彩转黑，背光补偿支持，宽动态120dB超宽动态；</w:t>
            </w:r>
          </w:p>
          <w:p w14:paraId="63C206A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3.强光抑制支持3D降噪支持，电子防抖支持，区域曝光支持，区域聚焦支持数字变倍16倍；</w:t>
            </w:r>
          </w:p>
          <w:p w14:paraId="5529F85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4.支持马赛克,支持多种颜色设置,四边形区域；</w:t>
            </w:r>
          </w:p>
          <w:p w14:paraId="608073D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5.信噪比≥52dB，通用功能镜像,密码保护,视频遮盖,水印技术,IP地址过滤,隐私遮蔽，光学透雾支持；</w:t>
            </w:r>
          </w:p>
          <w:p w14:paraId="048A623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6.镜头焦距范围至少包含4.8 mm-120 mm，25倍光学变倍，光学变倍速度≤3.6秒(光学,广角-望远)。</w:t>
            </w:r>
          </w:p>
        </w:tc>
      </w:tr>
      <w:tr w14:paraId="14C08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7" w:hRule="atLeast"/>
          <w:jc w:val="center"/>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AFB3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9FB70">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853A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音视频交互模块</w:t>
            </w:r>
          </w:p>
        </w:tc>
        <w:tc>
          <w:tcPr>
            <w:tcW w:w="6493"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BF9565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1.频率响应 60Hz-20kHz(-10dB)，额定输入功率≥80 W，最大输入功率≤240 W；</w:t>
            </w:r>
          </w:p>
          <w:p w14:paraId="026C1ED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2.灵敏度≥90dB/2.83V/1m，分频点 2.6kHz/15kHz，阻抗≤8ohm s；</w:t>
            </w:r>
          </w:p>
          <w:p w14:paraId="607BAB5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3.双通道；信噪比≥70db；失真度≤0.3％（1kHz）；灵敏≥-80dBm；</w:t>
            </w:r>
          </w:p>
          <w:p w14:paraId="0344ABC2">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4.支持头戴、领夹等多种使用方式；</w:t>
            </w:r>
          </w:p>
          <w:p w14:paraId="5AD496F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5.使用距离≥30米，低能耗，续航时长≥6小时。</w:t>
            </w:r>
          </w:p>
        </w:tc>
      </w:tr>
      <w:tr w14:paraId="1547D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3" w:hRule="atLeast"/>
          <w:jc w:val="center"/>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E234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1916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67B2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9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D33FFA0">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46C46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jc w:val="center"/>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5327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41F7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BA9E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9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3693FD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5439D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30E4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59A8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926D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9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FF8CF7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6DF21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7" w:hRule="atLeast"/>
          <w:jc w:val="center"/>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E4A7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7AEC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97228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网络通讯交互模块</w:t>
            </w:r>
          </w:p>
        </w:tc>
        <w:tc>
          <w:tcPr>
            <w:tcW w:w="6493"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581BE3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1.固定接口数≥2×10GE(SFP+)+ 8×GE Combo+2×GE WAN；</w:t>
            </w:r>
          </w:p>
          <w:p w14:paraId="23152712">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2.USB接口数≥1×USB2.0+1×USB3.0。</w:t>
            </w:r>
          </w:p>
        </w:tc>
      </w:tr>
      <w:tr w14:paraId="455B3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E9B6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4428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2888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9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2F9421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31C15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6" w:hRule="atLeast"/>
          <w:jc w:val="center"/>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4186A">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1082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D597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手术室控制模块</w:t>
            </w:r>
          </w:p>
        </w:tc>
        <w:tc>
          <w:tcPr>
            <w:tcW w:w="6493" w:type="dxa"/>
            <w:tcBorders>
              <w:top w:val="single" w:color="auto" w:sz="4" w:space="0"/>
              <w:left w:val="single" w:color="000000" w:sz="4" w:space="0"/>
              <w:bottom w:val="single" w:color="auto" w:sz="4" w:space="0"/>
              <w:right w:val="single" w:color="000000" w:sz="4" w:space="0"/>
            </w:tcBorders>
            <w:shd w:val="clear" w:color="auto" w:fill="auto"/>
            <w:vAlign w:val="center"/>
          </w:tcPr>
          <w:p w14:paraId="37852725">
            <w:pPr>
              <w:keepNext w:val="0"/>
              <w:keepLines w:val="0"/>
              <w:pageBreakBefore w:val="0"/>
              <w:widowControl/>
              <w:numPr>
                <w:ilvl w:val="0"/>
                <w:numId w:val="1"/>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自主添加实时信号≥1路，可同时观看实时信号≥1路；</w:t>
            </w:r>
          </w:p>
          <w:p w14:paraId="58F94FC3">
            <w:pPr>
              <w:keepNext w:val="0"/>
              <w:keepLines w:val="0"/>
              <w:pageBreakBefore w:val="0"/>
              <w:widowControl/>
              <w:numPr>
                <w:ilvl w:val="0"/>
                <w:numId w:val="1"/>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2.专家端依据时间可自由选择，不影响手术进程，无需手术室人工干预；</w:t>
            </w:r>
          </w:p>
          <w:p w14:paraId="2EAE76E1">
            <w:pPr>
              <w:keepNext w:val="0"/>
              <w:keepLines w:val="0"/>
              <w:pageBreakBefore w:val="0"/>
              <w:widowControl/>
              <w:numPr>
                <w:ilvl w:val="0"/>
                <w:numId w:val="1"/>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3.具备播放、暂停、快放、慢放等功能并可保存在指定文件夹；</w:t>
            </w:r>
          </w:p>
          <w:p w14:paraId="42BBC344">
            <w:pPr>
              <w:keepNext w:val="0"/>
              <w:keepLines w:val="0"/>
              <w:pageBreakBefore w:val="0"/>
              <w:widowControl/>
              <w:numPr>
                <w:ilvl w:val="0"/>
                <w:numId w:val="1"/>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4.可对任一窗口画面或局部画面实施放大用户指定的固定场所可自主观看时且不间断相关导管室手术过程，并发起对讲；</w:t>
            </w:r>
          </w:p>
          <w:p w14:paraId="0A6FC199">
            <w:pPr>
              <w:keepNext w:val="0"/>
              <w:keepLines w:val="0"/>
              <w:pageBreakBefore w:val="0"/>
              <w:widowControl/>
              <w:numPr>
                <w:ilvl w:val="0"/>
                <w:numId w:val="1"/>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5.用户指定的移动终端或PC端自主观看时，不间断相关导管室手术过程，并发起对讲；</w:t>
            </w:r>
          </w:p>
          <w:p w14:paraId="6515E3F0">
            <w:pPr>
              <w:keepNext w:val="0"/>
              <w:keepLines w:val="0"/>
              <w:pageBreakBefore w:val="0"/>
              <w:widowControl/>
              <w:numPr>
                <w:ilvl w:val="0"/>
                <w:numId w:val="1"/>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6.视频：清晰、完整、无波纹；音频：清晰、稳定、无回声；</w:t>
            </w:r>
          </w:p>
          <w:p w14:paraId="4FA46CE2">
            <w:pPr>
              <w:keepNext w:val="0"/>
              <w:keepLines w:val="0"/>
              <w:pageBreakBefore w:val="0"/>
              <w:widowControl/>
              <w:numPr>
                <w:ilvl w:val="0"/>
                <w:numId w:val="1"/>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7.视频延时&lt;0.3秒，音视频同步误差率&lt;0.2 秒；</w:t>
            </w:r>
          </w:p>
          <w:p w14:paraId="6D9489E7">
            <w:pPr>
              <w:keepNext w:val="0"/>
              <w:keepLines w:val="0"/>
              <w:pageBreakBefore w:val="0"/>
              <w:widowControl/>
              <w:numPr>
                <w:ilvl w:val="0"/>
                <w:numId w:val="1"/>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8.实施质控的过程中，全部操控均由专家端完成，导管室内无需额外安排人工；</w:t>
            </w:r>
          </w:p>
          <w:p w14:paraId="23D07C04">
            <w:pPr>
              <w:keepNext w:val="0"/>
              <w:keepLines w:val="0"/>
              <w:pageBreakBefore w:val="0"/>
              <w:widowControl/>
              <w:numPr>
                <w:ilvl w:val="0"/>
                <w:numId w:val="1"/>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9.实施操控的过程中，系统具备对比画面、自主回放、窗口组合、窗口切换等功能。</w:t>
            </w:r>
          </w:p>
        </w:tc>
      </w:tr>
      <w:tr w14:paraId="00975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1E1F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5893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远程示教系统</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1B07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示教平台控制模块</w:t>
            </w:r>
          </w:p>
        </w:tc>
        <w:tc>
          <w:tcPr>
            <w:tcW w:w="6493" w:type="dxa"/>
            <w:tcBorders>
              <w:top w:val="single" w:color="auto" w:sz="4" w:space="0"/>
              <w:left w:val="single" w:color="000000" w:sz="4" w:space="0"/>
              <w:bottom w:val="single" w:color="auto" w:sz="4" w:space="0"/>
              <w:right w:val="single" w:color="000000" w:sz="4" w:space="0"/>
            </w:tcBorders>
            <w:shd w:val="clear" w:color="auto" w:fill="auto"/>
            <w:vAlign w:val="center"/>
          </w:tcPr>
          <w:p w14:paraId="306A1A1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1.互动会议室支持≥200方同时参会、网络研讨会支持≥2000方同时参会；</w:t>
            </w:r>
          </w:p>
          <w:p w14:paraId="33CD625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2.可邀请（或移除）联系人、结束会议、会议布局、申请发言（禁言语）操作等会议控制，支持锁定会议室</w:t>
            </w:r>
          </w:p>
          <w:p w14:paraId="73D79660">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3.可设置1+N布局；召开培训会议时，支持2+N布局；召开应急指挥会议时，可设置3+N布局等多种布局模式支持分屏轮询的控制，支持语音激励的分屏模式；</w:t>
            </w:r>
          </w:p>
          <w:p w14:paraId="04E2F0C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支持会议中设置画面模板，支持在设置自定义布局时，选择导入画面模板，并快速应用给与会者，支持对模板添加、编辑、删除、设置默认模板等管理；支持单个静音/解除静音、全体静音/全体解除静音、关闭视频/开启视频、邀请参会者、移除参会者、锁定会议结束会议；</w:t>
            </w:r>
          </w:p>
          <w:p w14:paraId="18FFB27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5.可以与国家卫健委能力建设和继续教育继教数字化学习系统相连接；</w:t>
            </w:r>
          </w:p>
          <w:p w14:paraId="58BEF8B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6.可以与国家卫健委能力建设和继续教育进修培训基地互联互通。</w:t>
            </w:r>
          </w:p>
        </w:tc>
      </w:tr>
      <w:tr w14:paraId="3EBBD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6" w:hRule="atLeast"/>
          <w:jc w:val="center"/>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23B00">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F36C4">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复盘系统</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E4D7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手术复盘模块</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71759">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snapToGrid w:val="0"/>
                <w:color w:val="000000"/>
                <w:kern w:val="0"/>
                <w:sz w:val="24"/>
                <w:szCs w:val="24"/>
                <w:lang w:val="en-US" w:eastAsia="zh-CN" w:bidi="ar"/>
              </w:rPr>
              <w:t>1.</w:t>
            </w:r>
            <w:r>
              <w:rPr>
                <w:rFonts w:hint="eastAsia" w:ascii="仿宋_GB2312" w:hAnsi="仿宋_GB2312" w:eastAsia="仿宋_GB2312" w:cs="仿宋_GB2312"/>
                <w:i w:val="0"/>
                <w:iCs w:val="0"/>
                <w:color w:val="000000"/>
                <w:kern w:val="0"/>
                <w:sz w:val="24"/>
                <w:szCs w:val="24"/>
                <w:u w:val="none"/>
                <w:lang w:val="en-US" w:eastAsia="zh-CN" w:bidi="ar"/>
              </w:rPr>
              <w:t>影像自动保存：系统需自动保存所有信号，无需人工干预；</w:t>
            </w:r>
          </w:p>
          <w:p w14:paraId="4DAADF80">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2.影像单路独立保存：系统支持单路影像的自主添加，添后可对已添加的信号进行完整保存；</w:t>
            </w:r>
          </w:p>
          <w:p w14:paraId="4992D2F4">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3.矢量保存：系统针对已添加的单路影像按照影像的原始尺寸和比例进行矢量存储；</w:t>
            </w:r>
          </w:p>
          <w:p w14:paraId="3E591255">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4.自动校准影像时间差：系统针对已添加的多路影像进行实时存储，存储的时间按照图像实际发生时间进行校对校对存储，杜绝影像在传输过程中的时间消耗；</w:t>
            </w:r>
          </w:p>
          <w:p w14:paraId="2E1E7C67">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5.存储容量：系统存储空间可容纳各种信号≥一个月的时长，并可持续扩容，单块硬盘存储容量≥2TB，最大支持扩容硬盘数量≥8块；</w:t>
            </w:r>
          </w:p>
          <w:p w14:paraId="7FE019EF">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6.存储速度：系统支持≥32路影像的实时存储；</w:t>
            </w:r>
          </w:p>
          <w:p w14:paraId="7C4FCD16">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7.调阅速度：系统支持≥8路影像的实时调阅，响应速率≤8ms；</w:t>
            </w:r>
          </w:p>
          <w:p w14:paraId="7F23418C">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8.调阅并发量：系统支持≥8路影像的实时调阅；</w:t>
            </w:r>
          </w:p>
          <w:p w14:paraId="3F23ACB6">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9.安全策略：系统影像存储需采用影像数据加密切片处理，调阅需采用密钥握手方式，确保系统在存储和传输过程中的信息数据安全；</w:t>
            </w:r>
          </w:p>
          <w:p w14:paraId="630E99DF">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10.信号采集需源于医疗设备主机，非设备屏幕分屏；</w:t>
            </w:r>
          </w:p>
          <w:p w14:paraId="68BE7729">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11.采集出的医疗设备信号清晰度需等同设备本身，完整无抖动；</w:t>
            </w:r>
          </w:p>
          <w:p w14:paraId="304CEDFD">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12.医疗设备不会因信号采集而出现自身信号减弱、抖动、缺失、干扰等；</w:t>
            </w:r>
          </w:p>
          <w:p w14:paraId="7F50551C">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13.支持多种接口及协议，满足：DSA、3D、IVUS、OCT、CARTO、心电、超声等；</w:t>
            </w:r>
          </w:p>
        </w:tc>
      </w:tr>
      <w:tr w14:paraId="1489C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3" w:hRule="atLeast"/>
          <w:jc w:val="center"/>
        </w:trPr>
        <w:tc>
          <w:tcPr>
            <w:tcW w:w="442" w:type="dxa"/>
            <w:vMerge w:val="restart"/>
            <w:tcBorders>
              <w:top w:val="single" w:color="000000" w:sz="4" w:space="0"/>
              <w:left w:val="single" w:color="000000" w:sz="4" w:space="0"/>
              <w:right w:val="single" w:color="000000" w:sz="4" w:space="0"/>
            </w:tcBorders>
            <w:shd w:val="clear" w:color="auto" w:fill="auto"/>
            <w:vAlign w:val="center"/>
          </w:tcPr>
          <w:p w14:paraId="356D550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562" w:type="dxa"/>
            <w:vMerge w:val="restart"/>
            <w:tcBorders>
              <w:top w:val="single" w:color="000000" w:sz="4" w:space="0"/>
              <w:left w:val="single" w:color="000000" w:sz="4" w:space="0"/>
              <w:right w:val="single" w:color="000000" w:sz="4" w:space="0"/>
            </w:tcBorders>
            <w:shd w:val="clear" w:color="auto" w:fill="auto"/>
            <w:vAlign w:val="center"/>
          </w:tcPr>
          <w:p w14:paraId="4EECE9F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平台联通接口</w:t>
            </w:r>
          </w:p>
        </w:tc>
        <w:tc>
          <w:tcPr>
            <w:tcW w:w="935" w:type="dxa"/>
            <w:tcBorders>
              <w:top w:val="single" w:color="000000" w:sz="4" w:space="0"/>
              <w:left w:val="single" w:color="000000" w:sz="4" w:space="0"/>
              <w:bottom w:val="single" w:color="auto" w:sz="4" w:space="0"/>
              <w:right w:val="single" w:color="000000" w:sz="4" w:space="0"/>
            </w:tcBorders>
            <w:shd w:val="clear" w:color="auto" w:fill="auto"/>
            <w:vAlign w:val="center"/>
          </w:tcPr>
          <w:p w14:paraId="6E83C342">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b/>
                <w:bCs/>
                <w:sz w:val="24"/>
                <w:szCs w:val="24"/>
                <w:vertAlign w:val="baseline"/>
                <w:lang w:val="en-US" w:eastAsia="zh-CN"/>
              </w:rPr>
              <w:t>*与国家卫健委能力建设和继续教育进修与培训基地互联互通</w:t>
            </w:r>
          </w:p>
        </w:tc>
        <w:tc>
          <w:tcPr>
            <w:tcW w:w="6493" w:type="dxa"/>
            <w:tcBorders>
              <w:top w:val="single" w:color="000000" w:sz="4" w:space="0"/>
              <w:left w:val="single" w:color="000000" w:sz="4" w:space="0"/>
              <w:bottom w:val="single" w:color="auto" w:sz="4" w:space="0"/>
              <w:right w:val="single" w:color="000000" w:sz="4" w:space="0"/>
            </w:tcBorders>
            <w:shd w:val="clear" w:color="auto" w:fill="auto"/>
            <w:vAlign w:val="center"/>
          </w:tcPr>
          <w:p w14:paraId="4EE2C3A1">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1.可通过软件端访问到上级基地手术室，观看手术实时画面，用于科室学习。</w:t>
            </w:r>
          </w:p>
          <w:p w14:paraId="4E70A621">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2.上级基地可通过软件端访问到本地医院手术室，观看手术室实时手术画面，用于指导和质控。</w:t>
            </w:r>
          </w:p>
        </w:tc>
      </w:tr>
      <w:tr w14:paraId="140F6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8" w:hRule="atLeast"/>
          <w:jc w:val="center"/>
        </w:trPr>
        <w:tc>
          <w:tcPr>
            <w:tcW w:w="442" w:type="dxa"/>
            <w:vMerge w:val="continue"/>
            <w:tcBorders>
              <w:left w:val="single" w:color="000000" w:sz="4" w:space="0"/>
              <w:bottom w:val="single" w:color="auto" w:sz="4" w:space="0"/>
              <w:right w:val="single" w:color="000000" w:sz="4" w:space="0"/>
            </w:tcBorders>
            <w:shd w:val="clear" w:color="auto" w:fill="auto"/>
            <w:vAlign w:val="center"/>
          </w:tcPr>
          <w:p w14:paraId="4BE1877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rPr>
            </w:pPr>
          </w:p>
        </w:tc>
        <w:tc>
          <w:tcPr>
            <w:tcW w:w="562" w:type="dxa"/>
            <w:vMerge w:val="continue"/>
            <w:tcBorders>
              <w:left w:val="single" w:color="000000" w:sz="4" w:space="0"/>
              <w:bottom w:val="single" w:color="auto" w:sz="4" w:space="0"/>
              <w:right w:val="single" w:color="000000" w:sz="4" w:space="0"/>
            </w:tcBorders>
            <w:shd w:val="clear" w:color="auto" w:fill="auto"/>
            <w:vAlign w:val="center"/>
          </w:tcPr>
          <w:p w14:paraId="18F74EBA">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rPr>
            </w:pPr>
          </w:p>
        </w:tc>
        <w:tc>
          <w:tcPr>
            <w:tcW w:w="935" w:type="dxa"/>
            <w:tcBorders>
              <w:top w:val="single" w:color="auto" w:sz="4" w:space="0"/>
              <w:left w:val="single" w:color="000000" w:sz="4" w:space="0"/>
              <w:bottom w:val="single" w:color="auto" w:sz="4" w:space="0"/>
              <w:right w:val="single" w:color="000000" w:sz="4" w:space="0"/>
            </w:tcBorders>
            <w:shd w:val="clear" w:color="auto" w:fill="auto"/>
            <w:vAlign w:val="center"/>
          </w:tcPr>
          <w:p w14:paraId="4F3EEF5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*与国家卫健委继教数字化学习系统相连接</w:t>
            </w:r>
          </w:p>
        </w:tc>
        <w:tc>
          <w:tcPr>
            <w:tcW w:w="6493" w:type="dxa"/>
            <w:tcBorders>
              <w:top w:val="single" w:color="auto" w:sz="4" w:space="0"/>
              <w:left w:val="single" w:color="000000" w:sz="4" w:space="0"/>
              <w:bottom w:val="single" w:color="auto" w:sz="4" w:space="0"/>
              <w:right w:val="single" w:color="000000" w:sz="4" w:space="0"/>
            </w:tcBorders>
            <w:shd w:val="clear" w:color="auto" w:fill="auto"/>
            <w:vAlign w:val="center"/>
          </w:tcPr>
          <w:p w14:paraId="1410A8A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统计参培医院学习记录、在线时长，用于评价参培医院是否符合要求。</w:t>
            </w:r>
          </w:p>
        </w:tc>
      </w:tr>
    </w:tbl>
    <w:p w14:paraId="38B939C3">
      <w:pPr>
        <w:rPr>
          <w:rFonts w:hint="eastAsia" w:ascii="仿宋_GB2312" w:hAnsi="仿宋_GB2312" w:eastAsia="仿宋_GB2312" w:cs="仿宋_GB2312"/>
          <w:b/>
          <w:bCs/>
          <w:sz w:val="32"/>
          <w:szCs w:val="40"/>
          <w:lang w:val="en-US" w:eastAsia="zh-CN"/>
        </w:rPr>
      </w:pPr>
    </w:p>
    <w:p w14:paraId="663D5131">
      <w:pPr>
        <w:rPr>
          <w:rFonts w:hint="eastAsia" w:ascii="仿宋_GB2312" w:hAnsi="仿宋_GB2312" w:eastAsia="仿宋_GB2312" w:cs="仿宋_GB2312"/>
          <w:b/>
          <w:bCs/>
          <w:sz w:val="32"/>
          <w:szCs w:val="40"/>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50C480"/>
    <w:multiLevelType w:val="singleLevel"/>
    <w:tmpl w:val="6050C48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xMzcwOGJkZDdlM2MxMzU3MjU4OWQxOWNmYTg1OTQifQ=="/>
  </w:docVars>
  <w:rsids>
    <w:rsidRoot w:val="47402399"/>
    <w:rsid w:val="0BE31980"/>
    <w:rsid w:val="0CBD07B8"/>
    <w:rsid w:val="0E116B4E"/>
    <w:rsid w:val="23DA7B95"/>
    <w:rsid w:val="27B454DB"/>
    <w:rsid w:val="29F81F5E"/>
    <w:rsid w:val="2A121D90"/>
    <w:rsid w:val="2BDF40F6"/>
    <w:rsid w:val="2CE47332"/>
    <w:rsid w:val="44672381"/>
    <w:rsid w:val="47402399"/>
    <w:rsid w:val="56265BB5"/>
    <w:rsid w:val="56A33C92"/>
    <w:rsid w:val="5ECE5416"/>
    <w:rsid w:val="67332A0C"/>
    <w:rsid w:val="6D390A55"/>
    <w:rsid w:val="7D2A2F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Other|1"/>
    <w:basedOn w:val="1"/>
    <w:autoRedefine/>
    <w:qFormat/>
    <w:uiPriority w:val="0"/>
    <w:pPr>
      <w:widowControl w:val="0"/>
      <w:shd w:val="clear" w:color="auto" w:fill="auto"/>
      <w:spacing w:line="624" w:lineRule="exact"/>
      <w:ind w:firstLine="660"/>
    </w:pPr>
    <w:rPr>
      <w:rFonts w:ascii="宋体" w:hAnsi="宋体" w:eastAsia="宋体" w:cs="宋体"/>
      <w:sz w:val="28"/>
      <w:szCs w:val="28"/>
      <w:u w:val="none"/>
      <w:shd w:val="clear" w:color="auto" w:fill="auto"/>
      <w:lang w:val="zh-TW" w:eastAsia="zh-TW" w:bidi="zh-TW"/>
    </w:rPr>
  </w:style>
  <w:style w:type="paragraph" w:customStyle="1" w:styleId="6">
    <w:name w:val="正文1"/>
    <w:basedOn w:val="1"/>
    <w:autoRedefine/>
    <w:qFormat/>
    <w:uiPriority w:val="0"/>
    <w:pPr>
      <w:spacing w:line="360" w:lineRule="auto"/>
      <w:ind w:left="1260" w:leftChars="600" w:firstLine="540" w:firstLineChars="257"/>
    </w:pPr>
    <w:rPr>
      <w:rFonts w:ascii="宋体" w:hAnsi="宋体"/>
    </w:rPr>
  </w:style>
  <w:style w:type="paragraph" w:customStyle="1" w:styleId="7">
    <w:name w:val="DAS正文"/>
    <w:basedOn w:val="1"/>
    <w:qFormat/>
    <w:uiPriority w:val="0"/>
    <w:pPr>
      <w:autoSpaceDE/>
      <w:autoSpaceDN/>
      <w:adjustRightInd/>
      <w:spacing w:line="360" w:lineRule="auto"/>
      <w:ind w:right="181" w:firstLine="480" w:firstLineChars="200"/>
    </w:pPr>
    <w:rPr>
      <w:rFonts w:ascii="Verdana" w:hAnsi="Verdana"/>
      <w:color w:val="auto"/>
      <w:kern w:val="2"/>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3975</Words>
  <Characters>4415</Characters>
  <Lines>0</Lines>
  <Paragraphs>0</Paragraphs>
  <TotalTime>8</TotalTime>
  <ScaleCrop>false</ScaleCrop>
  <LinksUpToDate>false</LinksUpToDate>
  <CharactersWithSpaces>4449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2024-11-21T11:47:00Z</dcterms:created>
  <dc:creator>姜哲</dc:creator>
  <cp:lastModifiedBy>panliuwen</cp:lastModifiedBy>
  <dcterms:modified xsi:type="dcterms:W3CDTF">2026-08-11T03:20:04Z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5762BB340B5048CC849C301264D63132_13</vt:lpwstr>
  </property>
  <property fmtid="{D5CDD505-2E9C-101B-9397-08002B2CF9AE}" pid="4" name="KSOTemplateDocerSaveRecord">
    <vt:lpwstr>eyJoZGlkIjoiOWZjZTRkMzA3MjQ4YzA4NWFjZjk1ZGFkMWY2ZDQzYWUiLCJ1c2VySWQiOiIyMjk4MjI4NTUifQ==</vt:lpwstr>
  </property>
</Properties>
</file>