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附件1</w:t>
      </w: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54A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909DBC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使用期限（年）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399FF1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9710002">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1F88656">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A5F8E4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F0128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C226D3">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4EBB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4AE8A9C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30629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AAAC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1EFAAF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B61C43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6EE33F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AD6DE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9B4F6B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附件3（可报名全部项目或单个项目）</w:t>
      </w:r>
    </w:p>
    <w:tbl>
      <w:tblPr>
        <w:tblStyle w:val="5"/>
        <w:tblpPr w:leftFromText="180" w:rightFromText="180" w:vertAnchor="text" w:tblpX="-782" w:tblpY="1"/>
        <w:tblOverlap w:val="never"/>
        <w:tblW w:w="10621" w:type="dxa"/>
        <w:tblInd w:w="-7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609"/>
        <w:gridCol w:w="8547"/>
      </w:tblGrid>
      <w:tr w14:paraId="5CD8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FB8">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F8A7">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02AE">
            <w:pPr>
              <w:keepNext w:val="0"/>
              <w:keepLines/>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主要参数</w:t>
            </w:r>
          </w:p>
        </w:tc>
      </w:tr>
      <w:tr w14:paraId="27F0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ABDB">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ACC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大通量病理玻片扫描仪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17A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装载通量：单次装载切片数量≥600张；物镜配置：同时搭载两个真实进口物镜，20X物镜数值孔径≥0.80NA ；40X物镜数值孔径≥0.95NA，可以软件自由切换两种物镜，无需手动切换；成像速度：20 倍物镜下扫描速度≥8.00cm²/min，40 倍物镜下扫描速度≥3.30cm²/min（15mm*15mm组织面积下换算速度：20倍物镜下扫描时间≦20s，40倍物镜下扫描时间≦45s。）；扫描软件：支持单层扫描、多层融合扫描，最高可扫99层。阅片软件：支持一个屏幕同时显示至少9张数字病理图像。</w:t>
            </w:r>
          </w:p>
        </w:tc>
      </w:tr>
      <w:tr w14:paraId="28AC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B5E">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4EEF">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摊烤片机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F50F">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该病理诊断标本制作用摊片烤片机；单次烘片数：≥120片；摊、烤、烘片温度设置：0～99℃任意设置</w:t>
            </w:r>
          </w:p>
        </w:tc>
      </w:tr>
      <w:tr w14:paraId="1B47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D01C">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DD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气相液氮罐</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2F7F">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最大可贮存样品（2ml冻存管）≥15600个；冻存架数（100格/盒）≥12个，冻存架数（25格/盒）≥4个；每架盒数：12个；每盒冻存管数（100格/盒）≥100 ，每盒冻存管数（25格/盒）≥25；有效容积：≥370L。</w:t>
            </w:r>
          </w:p>
        </w:tc>
      </w:tr>
      <w:tr w14:paraId="57141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6A6F">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46A">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高速离心机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C9CC">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1.最高转速不低于15,800rpm；最大容量：10x 5 mL；不少于七种转子可选；增加转速/离心力：1 rpm或1xg递增，离心时间：1s 递增。</w:t>
            </w:r>
          </w:p>
        </w:tc>
      </w:tr>
      <w:tr w14:paraId="0F96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BFE3">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AC7A">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掌上离心机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26A3">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最高转速≥7000r/min；最大相对离心力≥2650xg；最大容量≥8×2.0ml；9.8×2/1.5ml转子（配0.2ml和0.5ml适配器）8×4×0.2ml? PCR排管转子。</w:t>
            </w:r>
          </w:p>
        </w:tc>
      </w:tr>
      <w:tr w14:paraId="1C02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A6C">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32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冷冻离心机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DAC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最大相对离心力:21,300×g(15060 rpm)；转速/离心力:100-5,OO0rpm,5,OO0-15060rpm；50-2990xg,50xrcf递增;3,00O-21,3OOxg,100rcf递增；最大容量:24×1.5/2.0mL离心管,10×5mL离心管,96×0,2mL PCR管。</w:t>
            </w:r>
          </w:p>
        </w:tc>
      </w:tr>
      <w:tr w14:paraId="6BB7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CD8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B35E">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包埋盒激光打号机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80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可打印含激光粉和不含激光粉包埋盒；可打印带盖和不带盖包埋盒；可打印Tissue-Tek4698/4783/4785/4789/4793等包埋盒；上料装置：六槽自动旋转装料，可同时装载6种颜色包埋盒，长料槽和短料槽可兼容、互换使用，可兼容散装包埋盒和预包装条状包埋盒；收集装置：采用内置一体化抽屉式包埋盒出料收集器，托盘可交替使用，每个托盘可收集150个包埋盒，可实现大容量收集与即打即用；收集托盘：标配具有一次成型的ABS材料托盘，且有320个唯一坐标</w:t>
            </w:r>
          </w:p>
        </w:tc>
      </w:tr>
      <w:tr w14:paraId="1C97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E9B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B9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载玻片激光打号机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2FB1">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料装置：采用侧翻、弹匣式可互换上料装置；采用弹匣式预包装玻片装料盒，不少于100张/盒；收集托盘：标配具有一次成型的ABS材料的托盘，且有22个唯一坐标，每个坐标对应30张玻片直立排放；打码速度：≤3秒/张玻片。</w:t>
            </w:r>
          </w:p>
        </w:tc>
      </w:tr>
      <w:tr w14:paraId="2DEF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DC4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34A">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修蜡封蜡仪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A4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具备修蜡面板；具备温度可调功能；数显温度，双温度调节；温控范围：修蜡温度室温～90度，封蜡温度室温～90度。</w:t>
            </w:r>
          </w:p>
        </w:tc>
      </w:tr>
      <w:tr w14:paraId="5F26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3FD">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E0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组织石蜡块冷冻台</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EE3">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蜡缸容积≧10升，保证≧1800个标准组织盒的制模工作；熔蜡设置温度：室温～+99℃任意预置，冷台设置温度：室温～-40℃任意预置。</w:t>
            </w:r>
          </w:p>
        </w:tc>
      </w:tr>
      <w:tr w14:paraId="4761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906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C74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全自动真空组织脱水机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0C00">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可同时处理包埋盒数量≥400个，脱水缸数量≥2个，且可独立运行；双脱水缸可独立运行，具有自己的温度、压力和搅拌器开/关设置；支持活检等小组织样本快速脱水≤3小时；石蜡缸≥4个; 蜡缸温度：50℃~71℃。</w:t>
            </w:r>
          </w:p>
        </w:tc>
      </w:tr>
      <w:tr w14:paraId="3663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5D96">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B713">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组织切片机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956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切片厚度：1-60μm；修块模式≥2种，修块厚度10µm和30µm；手动切片模式≥2种，半刀模式和全手轮旋转模式；水平进样幅度：24mm；垂直样品行程：70mm；静音样品回缩：40μm；最大样品尺寸（L×H×W）：55×50×30mm；</w:t>
            </w:r>
          </w:p>
        </w:tc>
      </w:tr>
      <w:tr w14:paraId="78E2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BCC">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162A">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冰冻切片机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237B">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27个制冷点，其中4个有半导体制冷，最低温度可达-55℃±2℃（在室温20℃）；有回缩功能，根据需要可关闭或开启，回缩距离为20 μm；切片厚度：1～500μm；精细切片厚度1-100μm。</w:t>
            </w:r>
          </w:p>
        </w:tc>
      </w:tr>
      <w:tr w14:paraId="4994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F83">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ECA">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数字病理扫描仪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F362">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次可加载切片数≥120张；切片盒规格：单个可放置≥30张切片；物镜：配置不少于2个全复消色差物镜（20倍、40倍各一个，20倍物镜数值孔径≥0.8NA；40倍物镜数值孔径≥0.95NA）；明场扫描速度：20倍扫描，组织面积≥15mm*15mm，扫描时间≤30s；扫描图像分辨率：20倍扫描；具备同一荧光模块多色荧光扫描，具备明场、荧光一键切换功能；荧光通道≥5通道；荧光扫描速度：三通道40倍扫描；扫描模式：支持单层、多层及多层融合扫描模式</w:t>
            </w:r>
          </w:p>
        </w:tc>
      </w:tr>
      <w:tr w14:paraId="164E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EBA">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933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大体成像系统</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5990">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成像像素：</w:t>
            </w:r>
            <w:r>
              <w:rPr>
                <w:rStyle w:val="13"/>
                <w:rFonts w:eastAsia="宋体"/>
                <w:lang w:val="en-US" w:eastAsia="zh-CN" w:bidi="ar"/>
              </w:rPr>
              <w:t>≥</w:t>
            </w:r>
            <w:r>
              <w:rPr>
                <w:rStyle w:val="14"/>
                <w:lang w:val="en-US" w:eastAsia="zh-CN" w:bidi="ar"/>
              </w:rPr>
              <w:t>2400万；3.最高分辨率：</w:t>
            </w:r>
            <w:r>
              <w:rPr>
                <w:rStyle w:val="13"/>
                <w:rFonts w:eastAsia="宋体"/>
                <w:lang w:val="en-US" w:eastAsia="zh-CN" w:bidi="ar"/>
              </w:rPr>
              <w:t>≥</w:t>
            </w:r>
            <w:r>
              <w:rPr>
                <w:rStyle w:val="14"/>
                <w:lang w:val="en-US" w:eastAsia="zh-CN" w:bidi="ar"/>
              </w:rPr>
              <w:t>6000×4000；光学变焦：3倍；电子放大倍数：5倍、10倍；镜头直径：Φ58mm；最近拍摄距离：</w:t>
            </w:r>
            <w:r>
              <w:rPr>
                <w:rStyle w:val="13"/>
                <w:rFonts w:eastAsia="宋体"/>
                <w:lang w:val="en-US" w:eastAsia="zh-CN" w:bidi="ar"/>
              </w:rPr>
              <w:t>≤</w:t>
            </w:r>
            <w:r>
              <w:rPr>
                <w:rStyle w:val="14"/>
                <w:lang w:val="en-US" w:eastAsia="zh-CN" w:bidi="ar"/>
              </w:rPr>
              <w:t>15cm；端口对接：可与医院HIS、PACS等系统无缝连接。</w:t>
            </w:r>
          </w:p>
        </w:tc>
      </w:tr>
      <w:tr w14:paraId="4B7F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E948">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F18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免疫组化全自动染色机</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FB13">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于病理组织标本的免疫组织化学和原位杂交检测；在同一台仪器上全自动完成烤片、脱腊、前处理、免疫组化染色、银染原位杂交及原位杂交；在仪器上全自动完成苏木素复染；玻片处理能力：不少于30张玻片/循环；抗体加样量小于等于100ul；一台计算机可同时控制不少于8台仪器。</w:t>
            </w:r>
          </w:p>
        </w:tc>
      </w:tr>
      <w:tr w14:paraId="4946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3A2">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F0E">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磁力架</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A2C5">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每个磁力架有不少于24个独立磁力孔，一次可以处理 1~24个样本；适配1.5mL离心管、2.0mL离心管。</w:t>
            </w:r>
          </w:p>
        </w:tc>
      </w:tr>
      <w:tr w14:paraId="64B0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3EB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A2BF">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真空离心浓缩仪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29DD">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离心+真空+加热：三者协同作用。真空降低溶剂沸点，离心力防止样品暴沸和飞溅，加热加速蒸发。低温浓缩高效溶剂兼容：可处理水、甲醇、乙腈等常见溶剂。多种转子可选：支持1.5ml离心管、10ml/50ml尖底管、96孔酶标板</w:t>
            </w:r>
          </w:p>
        </w:tc>
      </w:tr>
      <w:tr w14:paraId="3B70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FF06">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B9E2">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生物安全柜</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6CDC">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气流模式：30%外排，70%循环；外部尺寸：1535mm*790mm*2200mm；内部尺寸：1355mm*610mm*680mm；流入气流平均风速≥0.55m/s，下降气流平均风速≥0.33m/s；送风过滤器与排风过滤器均采用ULPA超高效空气过滤器，针对颗粒直径0.12um，过滤效率≥99.9995%；洁净级别为10级的工作环境。</w:t>
            </w:r>
          </w:p>
        </w:tc>
      </w:tr>
      <w:tr w14:paraId="47FE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16B">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2E6">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取材台</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83CE">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两侧安装可伸缩钢化玻璃侧板；侧面喷淋系统：可以快速清洗作业后的污水 配置可伸缩水龙头，可以冲洗到不同的工作区域；操作台面与水池方向保持3-5度倾斜。取材区域中心部位特殊设计的深度10毫米导流槽；配有紫外线定时空气消毒系统、LED无影照明系统、取材拍照辅助光源；配备：热水器、粉碎机，磁力工具吸附架（可选配洗眼器和烘手器）；外形尺寸： 1500~1800（长）×1950（高）×800（宽）mm。</w:t>
            </w:r>
          </w:p>
        </w:tc>
      </w:tr>
      <w:tr w14:paraId="0C9B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888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2C36">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恒温混匀仪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873E">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适用于1.5/0.2 mL EP管，试管数为</w:t>
            </w:r>
            <w:r>
              <w:rPr>
                <w:rStyle w:val="13"/>
                <w:rFonts w:eastAsia="宋体"/>
                <w:lang w:val="en-US" w:eastAsia="zh-CN" w:bidi="ar"/>
              </w:rPr>
              <w:t>≥</w:t>
            </w:r>
            <w:r>
              <w:rPr>
                <w:rStyle w:val="14"/>
                <w:lang w:val="en-US" w:eastAsia="zh-CN" w:bidi="ar"/>
              </w:rPr>
              <w:t>35；具有混匀、震荡、孵育、加热功能；振幅：水平振幅，</w:t>
            </w:r>
            <w:r>
              <w:rPr>
                <w:rStyle w:val="13"/>
                <w:rFonts w:eastAsia="宋体"/>
                <w:lang w:val="en-US" w:eastAsia="zh-CN" w:bidi="ar"/>
              </w:rPr>
              <w:t>≤</w:t>
            </w:r>
            <w:r>
              <w:rPr>
                <w:rStyle w:val="14"/>
                <w:lang w:val="en-US" w:eastAsia="zh-CN" w:bidi="ar"/>
              </w:rPr>
              <w:t>3 mm；</w:t>
            </w:r>
          </w:p>
        </w:tc>
      </w:tr>
      <w:tr w14:paraId="402B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9918">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7A55">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移液枪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23A9">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1套不少于4支，含量程分别为 2.5 μL、10 μL、100 μL、 1mL，精度±0.5%~±1.0%，可整支高温高压灭菌</w:t>
            </w:r>
          </w:p>
        </w:tc>
      </w:tr>
      <w:tr w14:paraId="4552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0D46">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5FD">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纯水仪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61DA">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超纯水电阻率≥18.25MΩ·cm（25℃），TOC≤1ppb，细菌≤1CFU/mL，热源/内毒素≤0.001EU/mL；高效节能，成本可控：超纯水制水流量1.5-5L/min，RO纯水流量10-20L/min。</w:t>
            </w:r>
          </w:p>
        </w:tc>
      </w:tr>
      <w:tr w14:paraId="6EE1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2A8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F2F9">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Qubit荧光定量仪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A74B">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上样量：1-20uL；样品通量：1个样品3秒；动态范围：5个数量级；标准曲线：2或3点标准；光源：蓝色LED(最大~470 nm),红色LED(最大~635nm)；激发通道：蓝光430–495nm，红光600–645nm；发射通道：绿光510–580nm；红光665–720nm；提供配套的定量试剂dsDNA，ssDNA，RNA，microRNA等定量试剂各一盒；高敏感度线性检测最低达到：dsDNA：≤0.005ng/μL，ssDNA：≤0.05ng/μL，RNA：≤0.25ng/μL，microRNA：≤0.05ng/μL，蛋白质：≤12.5ng/μL。</w:t>
            </w:r>
          </w:p>
        </w:tc>
      </w:tr>
      <w:tr w14:paraId="10EB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8036">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8464">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核酸片段分析仪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003C">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次可运行1-96任意个样品；可进行各种DNA和RNA样本的检测；每个样品仅需1-2min即可快速获得结果，96个样品在90min内即可获得结果；可同时平行处理≥12个样本；上样量：DNA样品≤2uL，RNA样品≤2uL；检测片段范围：35bp-60Kbp；检测极限浓度为5pg/uL的DNA样品时，体积≤2uL；检测极限浓度为100pg/uL的RNA样品时，体积≤2uL；分辨率：对500bp的DNA片段，分辨率可≤3bp。</w:t>
            </w:r>
          </w:p>
        </w:tc>
      </w:tr>
      <w:tr w14:paraId="596E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A9A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CD7B">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全自动核酸提取仪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72B7">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磁珠法全自动核酸提取，集成裂解、结合、洗涤、洗脱全流程，无需人工值守；通量：1–96 样本 / 批次</w:t>
            </w:r>
            <w:r>
              <w:rPr>
                <w:rFonts w:hint="default" w:ascii="Times New Roman" w:hAnsi="Times New Roman" w:eastAsia="宋体" w:cs="Times New Roman"/>
                <w:b/>
                <w:bCs/>
                <w:i w:val="0"/>
                <w:iCs w:val="0"/>
                <w:color w:val="000000"/>
                <w:kern w:val="0"/>
                <w:sz w:val="24"/>
                <w:szCs w:val="24"/>
                <w:u w:val="none"/>
                <w:lang w:val="en-US" w:eastAsia="zh-CN" w:bidi="ar"/>
              </w:rPr>
              <w:t>​</w:t>
            </w:r>
            <w:r>
              <w:rPr>
                <w:rStyle w:val="14"/>
                <w:lang w:val="en-US" w:eastAsia="zh-CN" w:bidi="ar"/>
              </w:rPr>
              <w:t>；处理体积：20 μL–1000 μL，兼容咽拭子、痰液、血液、灌洗液、粪便等</w:t>
            </w:r>
            <w:r>
              <w:rPr>
                <w:rFonts w:hint="default" w:ascii="Times New Roman" w:hAnsi="Times New Roman" w:eastAsia="宋体" w:cs="Times New Roman"/>
                <w:b/>
                <w:bCs/>
                <w:i w:val="0"/>
                <w:iCs w:val="0"/>
                <w:color w:val="000000"/>
                <w:kern w:val="0"/>
                <w:sz w:val="24"/>
                <w:szCs w:val="24"/>
                <w:u w:val="none"/>
                <w:lang w:val="en-US" w:eastAsia="zh-CN" w:bidi="ar"/>
              </w:rPr>
              <w:t>​</w:t>
            </w:r>
            <w:r>
              <w:rPr>
                <w:rStyle w:val="14"/>
                <w:lang w:val="en-US" w:eastAsia="zh-CN" w:bidi="ar"/>
              </w:rPr>
              <w:t>；运行时间：快速模式 15–25 min / 批；标准模式 30–50 min / 批</w:t>
            </w:r>
            <w:r>
              <w:rPr>
                <w:rFonts w:hint="default" w:ascii="Times New Roman" w:hAnsi="Times New Roman" w:eastAsia="宋体" w:cs="Times New Roman"/>
                <w:b/>
                <w:bCs/>
                <w:i w:val="0"/>
                <w:iCs w:val="0"/>
                <w:color w:val="000000"/>
                <w:kern w:val="0"/>
                <w:sz w:val="24"/>
                <w:szCs w:val="24"/>
                <w:u w:val="none"/>
                <w:lang w:val="en-US" w:eastAsia="zh-CN" w:bidi="ar"/>
              </w:rPr>
              <w:t>​</w:t>
            </w:r>
            <w:r>
              <w:rPr>
                <w:rStyle w:val="14"/>
                <w:lang w:val="en-US" w:eastAsia="zh-CN" w:bidi="ar"/>
              </w:rPr>
              <w:t>；温控范围：室温–120℃，裂解 / 洗脱精准控温</w:t>
            </w:r>
          </w:p>
        </w:tc>
      </w:tr>
      <w:tr w14:paraId="325F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8AE2">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829">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PCR核酸扩增仪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7C5">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样品容量：96，适用 0.2mL 的 96 孔板、8 连管、单管；反应体积：10～100μl；模块控温范围：4.0℃～99℃；梯度温度范围：35.5℃～99.5℃；热盖温度范围：40～110℃；模块温度均匀性：±0.2℃；控温精度：±0.1℃；温度准确度：±0.1℃；温度显示分辨率：0.1℃；升降温速率：≤5.5℃/s；循环数最多可至 99 个；自压式热盖设计，无需调节热盖高度，可适应各种耗材。</w:t>
            </w:r>
          </w:p>
        </w:tc>
      </w:tr>
      <w:tr w14:paraId="5803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539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49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自动分装仪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A7A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96 道全自动高通量液体处理，可应用于试剂分装、微孔板复制与重排、 8 道梯 度稀释、 96 孔板转 384 孔板、细胞转移/更换培养基、 ELISA 操作（微孔板包被与洗涤）、96 孔板核酸纯化等实验；移液模块：高精度 96 道移液模块，可实现 8 道和 96 道全自动移液操作；版位数：可支持 4/6 板位，板位上可安装多种类型载架和功能模块；开放耗材：支持多品牌通用耗材。</w:t>
            </w:r>
          </w:p>
        </w:tc>
      </w:tr>
      <w:tr w14:paraId="08E5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F38B">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CBE6">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振荡器</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69E5">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采用敞开式工作平板，表面易清洗，一次可装载1-4只细胞培养板；可调旋钮设计，可实现无级调速与60min内任意时间的定时运行。</w:t>
            </w:r>
          </w:p>
        </w:tc>
      </w:tr>
      <w:tr w14:paraId="4C3A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A17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6CCC">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8道排枪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F6D">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1、八通道多用途电力驱动移液装置，操作简单，可轻松实现多样本的快速精准移液；功能模式；吸排液，连续混匀，连续分配功能；</w:t>
            </w:r>
          </w:p>
        </w:tc>
      </w:tr>
      <w:tr w14:paraId="6F6E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16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2EE">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涡旋振荡器</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9FCB">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用途：用于实验样本的快速混匀；转速范围：≥0-3000rpm，无级调速，可实现温和/剧烈混合样品；多种振头及适配器可选。</w:t>
            </w:r>
          </w:p>
        </w:tc>
      </w:tr>
      <w:tr w14:paraId="7F408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243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ED6A">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金属浴</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A14">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设备用途：用于样品的恒温加热、保存；标配模块1-50mL×4孔；标配模块2-2.0mL×24孔；模块更换：支持模块快速更换。</w:t>
            </w:r>
          </w:p>
        </w:tc>
      </w:tr>
      <w:tr w14:paraId="7CB2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4F7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847">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超声打断仪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8FD6">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非接触式 / 密闭式超声打断，用于：DNA/RNA 片段化、细胞破碎、组织破碎、ChIP-Seq 样本制备、蛋白提取、微生物裂解等；工作方式：非接触式超声 / 聚焦式超声（无交叉污染）；处理通量：≥16/24/48/96 孔可选（满足高通量）；适配 PCR 管、离心管、96 孔板等。</w:t>
            </w:r>
          </w:p>
        </w:tc>
      </w:tr>
      <w:tr w14:paraId="0622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9739">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DE50">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超微量分光光度计</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163">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主要用于分子生物实验室的微量核酸（DNA/RNA）、蛋白质及各类生物大分子的浓度、纯度及完整性的快速检测。</w:t>
            </w:r>
          </w:p>
        </w:tc>
      </w:tr>
      <w:tr w14:paraId="0D12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86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EB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高通量测序基因分析仪</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9ED">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DNBseq（DNA 纳米球）+ cPAS（联合探针锚定聚合），低扩增偏差、低重复率；读长（Read Length）：单端（SE）：SE50 / SE75 / SE100 / SE150，双端（PE）：PE100 / PE150 / PE250（临床主流）；长读长：PE300（仅部分桌面机型，如 MiSeq）；临床选型：肿瘤 Panel / 遗传病 WES 优先 PE150；mNGS / 微生物优先 PE100–PE150；全自动：7大模块集成；内置生信分析 + 数据压缩 +自动报告；通量与数据产出（单次 Run）高通量（NovaSeq 6000/MGISEQ-2000）：500–1500 Gb/Run；运行速度（Time per Run），PE150：24–48 小时（临床急诊 / 常规），PE100：18–30 小时；快速模式：＜24 小时（支持 mNGS / 急诊肿瘤）；准确性与质量值（关键质控）Q30 比例：≥85%–95%（临床合格线≥85%）；碱基准确率：≥99.9%（生殖系≥99.99%，体细胞≥99.98%）；低频变异检出：≥1%（肿瘤体细胞突变必备）；均一性：覆盖均一性 CV＜10%；样本兼容性；样本类型：外周血、FFPE、穿刺、脑脊液、痰液、体液、低起始量（≥1ng）；样本通量：单次可测8–96 样本（按芯片 / Flow Cell）；支持：DNA/RNA 测序、靶向捕获、WES、WGS、mNGS、甲基化；光学：多色荧光（≥4 色）、自动对焦、低噪声。</w:t>
            </w:r>
          </w:p>
        </w:tc>
      </w:tr>
      <w:tr w14:paraId="2482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016A">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36</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A7E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电子显微镜</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24E2">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功能、用途等：开展电镜超微观诊断，应用于肾脏、神经、皮肤，免疫、代谢等疾病的临床诊疗及科学研究，减少标本外检；放大倍率: </w:t>
            </w:r>
            <w:r>
              <w:rPr>
                <w:rStyle w:val="14"/>
                <w:lang w:val="en-US" w:eastAsia="zh-CN" w:bidi="ar"/>
              </w:rPr>
              <w:t xml:space="preserve"> 1X-3000000 X（含光学放大倍数）；加速电压:  0.2kV～30kV；真空组成：1个溅射离子泵+1个吸气剂离子复合泵，1台磁悬浮涡轮分子泵，1台干泵；大型样品室；样品室提供不少于14个扩展接口，可以外接 WDS、EDS、BSE、EBSD 等多种附件和探测器；五轴全自动样品台，真空电机驱动；样品台行程：X=150mm，Y=150mm，Z=65mm，T=-10°～+90°，R=360° ；最大样品直径：Ф320mm；最大样品高度：90mm。</w:t>
            </w:r>
          </w:p>
        </w:tc>
      </w:tr>
      <w:tr w14:paraId="66CC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7FD">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132C">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研究级生物显微镜</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62EA">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光学系统：采用无限远校正光学系统，齐焦距离≤45mm；调焦：载物台垂直移动，行程不小于25mm，带聚焦粗调限位器；照明装置：内置透射光柯勒照明器，长效白光LED光源；物镜转盘：≥5孔编码物镜转盘，具有光强管理功能，支持在转换不同物镜时，根据预设光强进行自动光亮度调节；观察镜筒：宽视野三目观察筒，分光比例100：0/20：80/0:100,屈光度可调，倾角30度，瞳间距调节范围50-76mm；物镜：与显微镜原装同品牌，视场数 F.N≥26；目镜：高眼点屈光度可调的 10 倍超宽视场目镜，视场数 F.N≥26；载物台：右手低位驱动矩形陶瓷线控载物台 ，带有旋转装置（顺时针方向≥230°逆时针≥20°）；聚光镜：阿贝聚光镜，适合4-100X物镜，N.A.≥1.1；可升级荧光：要求将来可本化升级增加荧光装置，荧光激发块转盘位≥8。</w:t>
            </w:r>
          </w:p>
        </w:tc>
      </w:tr>
      <w:tr w14:paraId="1137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57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B018">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显微镜成像系统</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06F">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用途：可用于普通染色切片观察，开展临床、科研常规显微检验工作；光学系统：无限远光学矫正系统</w:t>
            </w:r>
          </w:p>
        </w:tc>
      </w:tr>
      <w:tr w14:paraId="762F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03F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404">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标本存放冷藏冰箱</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69D">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功能用途描述：主要用于 4℃和-20℃的样本储存；样式：立式；容积：≥260 升；温度设置范围：-20℃-8℃</w:t>
            </w:r>
          </w:p>
        </w:tc>
      </w:tr>
      <w:tr w14:paraId="5D8B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E9C1">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17F8">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-80°C超低温冰箱</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6F57">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功能用途：主要用于在极低温度下保存生物样本、疫苗、化学试剂等；容积： ≥420L，2 英寸冻存盒存放数量≥ 300 个；工作温度范围：-50℃~-86℃。</w:t>
            </w:r>
          </w:p>
        </w:tc>
      </w:tr>
      <w:tr w14:paraId="71BE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F6D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9CA">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医用冷藏箱</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91C7">
            <w:pPr>
              <w:keepNext w:val="0"/>
              <w:keepLines/>
              <w:pageBreakBefore w:val="0"/>
              <w:widowControl w:val="0"/>
              <w:suppressLineNumbers w:val="0"/>
              <w:kinsoku/>
              <w:wordWrap/>
              <w:overflowPunct/>
              <w:topLinePunct w:val="0"/>
              <w:autoSpaceDE/>
              <w:autoSpaceDN/>
              <w:bidi w:val="0"/>
              <w:adjustRightInd/>
              <w:snapToGrid/>
              <w:jc w:val="both"/>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适用范围：该产品适用于医院、药房、防疫站、研究机构、生物制药等单位冷藏物品；工作条件：环境温度16-32℃，环境湿度：20-80%，电压：187V~242V，频率：50±1Hz；样式：立式，单门；有效容积(L)：55~65;</w:t>
            </w:r>
          </w:p>
        </w:tc>
      </w:tr>
      <w:tr w14:paraId="1740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0388">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7F45">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冷链24h实时监测系统</w:t>
            </w:r>
          </w:p>
        </w:tc>
        <w:tc>
          <w:tcPr>
            <w:tcW w:w="8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64C">
            <w:pPr>
              <w:keepNext w:val="0"/>
              <w:keepLines/>
              <w:pageBreakBefore w:val="0"/>
              <w:widowControl w:val="0"/>
              <w:suppressLineNumbers w:val="0"/>
              <w:kinsoku/>
              <w:wordWrap/>
              <w:overflowPunct/>
              <w:topLinePunct w:val="0"/>
              <w:autoSpaceDE/>
              <w:autoSpaceDN/>
              <w:bidi w:val="0"/>
              <w:adjustRightInd/>
              <w:snapToGrid/>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用途：预防用于冷链设备温度集中监测、记录、预警；实现24h实时监测。</w:t>
            </w:r>
          </w:p>
        </w:tc>
      </w:tr>
    </w:tbl>
    <w:p w14:paraId="328EE3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p>
    <w:sectPr>
      <w:pgSz w:w="11906" w:h="16838"/>
      <w:pgMar w:top="1310" w:right="1506" w:bottom="1310" w:left="1525"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4F7DD5"/>
    <w:rsid w:val="0EE9650E"/>
    <w:rsid w:val="103C2159"/>
    <w:rsid w:val="117E2002"/>
    <w:rsid w:val="12267DC2"/>
    <w:rsid w:val="130F00A2"/>
    <w:rsid w:val="1332191F"/>
    <w:rsid w:val="13AD71F9"/>
    <w:rsid w:val="14F0614E"/>
    <w:rsid w:val="16252961"/>
    <w:rsid w:val="162F18C6"/>
    <w:rsid w:val="177B0F90"/>
    <w:rsid w:val="19700A6A"/>
    <w:rsid w:val="19ED67A6"/>
    <w:rsid w:val="1B166AE1"/>
    <w:rsid w:val="1BD33432"/>
    <w:rsid w:val="21694EBE"/>
    <w:rsid w:val="2221195A"/>
    <w:rsid w:val="23871813"/>
    <w:rsid w:val="244B3216"/>
    <w:rsid w:val="24D36ACF"/>
    <w:rsid w:val="2A512B8A"/>
    <w:rsid w:val="2A980069"/>
    <w:rsid w:val="2B624D55"/>
    <w:rsid w:val="2CCC0D0C"/>
    <w:rsid w:val="2CE91FD7"/>
    <w:rsid w:val="2EC27C7F"/>
    <w:rsid w:val="2F45542E"/>
    <w:rsid w:val="2FB10427"/>
    <w:rsid w:val="339214BD"/>
    <w:rsid w:val="39455D43"/>
    <w:rsid w:val="394C5765"/>
    <w:rsid w:val="3C1D5A5B"/>
    <w:rsid w:val="3DA24E24"/>
    <w:rsid w:val="3DC92D11"/>
    <w:rsid w:val="3E974C9D"/>
    <w:rsid w:val="3EE33949"/>
    <w:rsid w:val="3F0540C1"/>
    <w:rsid w:val="3F22508C"/>
    <w:rsid w:val="408A49C4"/>
    <w:rsid w:val="432809B0"/>
    <w:rsid w:val="43B760D3"/>
    <w:rsid w:val="44112439"/>
    <w:rsid w:val="449A1098"/>
    <w:rsid w:val="452A1EF4"/>
    <w:rsid w:val="47794A11"/>
    <w:rsid w:val="483A19C0"/>
    <w:rsid w:val="493556E9"/>
    <w:rsid w:val="49CB3C12"/>
    <w:rsid w:val="4D582C68"/>
    <w:rsid w:val="4DF307D4"/>
    <w:rsid w:val="4F224A45"/>
    <w:rsid w:val="519225EC"/>
    <w:rsid w:val="519944BD"/>
    <w:rsid w:val="53430F2E"/>
    <w:rsid w:val="59F427A5"/>
    <w:rsid w:val="5AD810F7"/>
    <w:rsid w:val="5C444B7A"/>
    <w:rsid w:val="5C526EC3"/>
    <w:rsid w:val="5E7D6285"/>
    <w:rsid w:val="600C2E8E"/>
    <w:rsid w:val="60CA001D"/>
    <w:rsid w:val="632E0D88"/>
    <w:rsid w:val="664D5E5F"/>
    <w:rsid w:val="67144738"/>
    <w:rsid w:val="676D3854"/>
    <w:rsid w:val="68E37723"/>
    <w:rsid w:val="693C417F"/>
    <w:rsid w:val="6A8F555A"/>
    <w:rsid w:val="6C7B0FF8"/>
    <w:rsid w:val="6CD44FC1"/>
    <w:rsid w:val="6E812E2D"/>
    <w:rsid w:val="6EB44A94"/>
    <w:rsid w:val="720D5278"/>
    <w:rsid w:val="728C3F31"/>
    <w:rsid w:val="72997B90"/>
    <w:rsid w:val="73471A0F"/>
    <w:rsid w:val="74793794"/>
    <w:rsid w:val="758728BF"/>
    <w:rsid w:val="77EE09D2"/>
    <w:rsid w:val="7C1A4A64"/>
    <w:rsid w:val="7C2C1B35"/>
    <w:rsid w:val="7D6A09E7"/>
    <w:rsid w:val="7D8D5EEE"/>
    <w:rsid w:val="7DC925DC"/>
    <w:rsid w:val="7E613D12"/>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 w:type="character" w:customStyle="1" w:styleId="12">
    <w:name w:val="font31"/>
    <w:basedOn w:val="7"/>
    <w:qFormat/>
    <w:uiPriority w:val="0"/>
    <w:rPr>
      <w:rFonts w:hint="eastAsia" w:ascii="宋体" w:hAnsi="宋体" w:eastAsia="宋体" w:cs="宋体"/>
      <w:b/>
      <w:bCs/>
      <w:color w:val="000000"/>
      <w:sz w:val="24"/>
      <w:szCs w:val="24"/>
      <w:u w:val="none"/>
    </w:rPr>
  </w:style>
  <w:style w:type="character" w:customStyle="1" w:styleId="13">
    <w:name w:val="font21"/>
    <w:basedOn w:val="7"/>
    <w:qFormat/>
    <w:uiPriority w:val="0"/>
    <w:rPr>
      <w:rFonts w:ascii="Arial" w:hAnsi="Arial" w:cs="Arial"/>
      <w:b/>
      <w:bCs/>
      <w:color w:val="000000"/>
      <w:sz w:val="24"/>
      <w:szCs w:val="24"/>
      <w:u w:val="none"/>
    </w:rPr>
  </w:style>
  <w:style w:type="character" w:customStyle="1" w:styleId="14">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1465</Words>
  <Characters>1709</Characters>
  <Lines>0</Lines>
  <Paragraphs>0</Paragraphs>
  <TotalTime>52</TotalTime>
  <ScaleCrop>false</ScaleCrop>
  <LinksUpToDate>false</LinksUpToDate>
  <CharactersWithSpaces>1719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2026-06-17T00:18:00Z</cp:lastPrinted>
  <dcterms:modified xsi:type="dcterms:W3CDTF">2026-06-17T02:06:47Z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70250B3F81474611B04B0280A345D9E4_13</vt:lpwstr>
  </property>
  <property fmtid="{D5CDD505-2E9C-101B-9397-08002B2CF9AE}" pid="4" name="KSOTemplateDocerSaveRecord">
    <vt:lpwstr>eyJoZGlkIjoiZTMzNGI3NzA3YjUzY2Y2ODg5OTFlMTExNGNmYWExZTgiLCJ1c2VySWQiOiI0NDk5NzI5NjgifQ==</vt:lpwstr>
  </property>
</Properties>
</file>