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A259">
      <w:pPr>
        <w:keepNext w:val="0"/>
        <w:keepLines w:val="0"/>
        <w:pageBreakBefore w:val="0"/>
        <w:widowControl/>
        <w:kinsoku/>
        <w:wordWrap/>
        <w:overflowPunct/>
        <w:topLinePunct w:val="0"/>
        <w:autoSpaceDE/>
        <w:autoSpaceDN/>
        <w:bidi w:val="0"/>
        <w:adjustRightInd/>
        <w:snapToGrid w:val="0"/>
        <w:spacing w:line="590" w:lineRule="exact"/>
        <w:jc w:val="left"/>
        <w:textAlignment w:val="auto"/>
        <w:rPr>
          <w:rFonts w:hint="eastAsia" w:ascii="黑体" w:hAnsi="黑体" w:eastAsia="黑体" w:cs="黑体"/>
          <w:bCs/>
          <w:color w:val="auto"/>
          <w:kern w:val="0"/>
          <w:sz w:val="32"/>
          <w:szCs w:val="32"/>
        </w:rPr>
      </w:pPr>
      <w:bookmarkStart w:id="0" w:name="_GoBack"/>
      <w:bookmarkEnd w:id="0"/>
      <w:r>
        <w:rPr>
          <w:rFonts w:hint="eastAsia" w:ascii="黑体" w:hAnsi="黑体" w:eastAsia="黑体" w:cs="黑体"/>
          <w:bCs/>
          <w:color w:val="auto"/>
          <w:kern w:val="0"/>
          <w:sz w:val="32"/>
          <w:szCs w:val="32"/>
        </w:rPr>
        <w:t>附件1</w:t>
      </w:r>
    </w:p>
    <w:p w14:paraId="342E9ACE">
      <w:pPr>
        <w:keepNext w:val="0"/>
        <w:keepLines w:val="0"/>
        <w:pageBreakBefore w:val="0"/>
        <w:kinsoku/>
        <w:wordWrap/>
        <w:overflowPunct/>
        <w:topLinePunct w:val="0"/>
        <w:autoSpaceDE/>
        <w:autoSpaceDN/>
        <w:bidi w:val="0"/>
        <w:adjustRightInd/>
        <w:spacing w:line="590" w:lineRule="exact"/>
        <w:textAlignment w:val="auto"/>
        <w:rPr>
          <w:rFonts w:hint="eastAsia" w:ascii="仿宋" w:hAnsi="仿宋" w:eastAsia="仿宋" w:cs="仿宋"/>
          <w:color w:val="auto"/>
          <w:sz w:val="30"/>
          <w:szCs w:val="30"/>
        </w:rPr>
      </w:pPr>
    </w:p>
    <w:p w14:paraId="5429CB84">
      <w:pPr>
        <w:keepNext w:val="0"/>
        <w:keepLines w:val="0"/>
        <w:pageBreakBefore w:val="0"/>
        <w:widowControl/>
        <w:kinsoku/>
        <w:wordWrap/>
        <w:overflowPunct/>
        <w:topLinePunct w:val="0"/>
        <w:autoSpaceDE/>
        <w:autoSpaceDN/>
        <w:bidi w:val="0"/>
        <w:adjustRightInd/>
        <w:snapToGrid w:val="0"/>
        <w:spacing w:line="590" w:lineRule="exact"/>
        <w:jc w:val="center"/>
        <w:textAlignment w:val="auto"/>
        <w:rPr>
          <w:rFonts w:hint="eastAsia" w:ascii="方正小标宋简体" w:hAnsi="黑体" w:eastAsia="方正小标宋简体" w:cs="Helvetica"/>
          <w:b/>
          <w:bCs w:val="0"/>
          <w:color w:val="auto"/>
          <w:kern w:val="0"/>
          <w:sz w:val="44"/>
          <w:szCs w:val="44"/>
          <w:lang w:eastAsia="zh-CN"/>
        </w:rPr>
      </w:pPr>
      <w:r>
        <w:rPr>
          <w:rFonts w:hint="eastAsia" w:ascii="方正小标宋简体" w:hAnsi="黑体" w:eastAsia="方正小标宋简体" w:cs="Helvetica"/>
          <w:bCs/>
          <w:color w:val="auto"/>
          <w:kern w:val="0"/>
          <w:sz w:val="44"/>
          <w:szCs w:val="44"/>
        </w:rPr>
        <w:t>药品配送企业</w:t>
      </w:r>
      <w:r>
        <w:rPr>
          <w:rFonts w:hint="eastAsia" w:ascii="方正小标宋简体" w:hAnsi="黑体" w:eastAsia="方正小标宋简体" w:cs="Helvetica"/>
          <w:b/>
          <w:bCs w:val="0"/>
          <w:color w:val="auto"/>
          <w:kern w:val="0"/>
          <w:sz w:val="44"/>
          <w:szCs w:val="44"/>
          <w:lang w:eastAsia="zh-CN"/>
        </w:rPr>
        <w:t>遴选申请</w:t>
      </w:r>
    </w:p>
    <w:p w14:paraId="3D2AB6E2">
      <w:pPr>
        <w:keepNext w:val="0"/>
        <w:keepLines w:val="0"/>
        <w:pageBreakBefore w:val="0"/>
        <w:kinsoku/>
        <w:wordWrap/>
        <w:overflowPunct/>
        <w:topLinePunct w:val="0"/>
        <w:autoSpaceDE/>
        <w:autoSpaceDN/>
        <w:bidi w:val="0"/>
        <w:adjustRightInd/>
        <w:spacing w:line="590" w:lineRule="exact"/>
        <w:textAlignment w:val="auto"/>
        <w:rPr>
          <w:rFonts w:hint="eastAsia" w:ascii="仿宋" w:hAnsi="仿宋" w:eastAsia="仿宋" w:cs="仿宋"/>
          <w:color w:val="auto"/>
          <w:sz w:val="30"/>
          <w:szCs w:val="30"/>
        </w:rPr>
      </w:pPr>
    </w:p>
    <w:p w14:paraId="44FFAF2D">
      <w:pPr>
        <w:keepNext w:val="0"/>
        <w:keepLines w:val="0"/>
        <w:pageBreakBefore w:val="0"/>
        <w:kinsoku/>
        <w:wordWrap/>
        <w:overflowPunct/>
        <w:topLinePunct w:val="0"/>
        <w:autoSpaceDE/>
        <w:autoSpaceDN/>
        <w:bidi w:val="0"/>
        <w:adjustRightInd/>
        <w:spacing w:line="59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梧州市工人</w:t>
      </w:r>
      <w:r>
        <w:rPr>
          <w:rFonts w:hint="eastAsia" w:ascii="仿宋_GB2312" w:hAnsi="仿宋_GB2312" w:eastAsia="仿宋_GB2312" w:cs="仿宋_GB2312"/>
          <w:color w:val="auto"/>
          <w:sz w:val="32"/>
          <w:szCs w:val="32"/>
        </w:rPr>
        <w:t>医院：</w:t>
      </w:r>
    </w:p>
    <w:p w14:paraId="7D7F2EDB">
      <w:pPr>
        <w:keepNext w:val="0"/>
        <w:keepLines w:val="0"/>
        <w:pageBreakBefore w:val="0"/>
        <w:kinsoku/>
        <w:wordWrap/>
        <w:overflowPunct/>
        <w:topLinePunct w:val="0"/>
        <w:autoSpaceDE/>
        <w:autoSpaceDN/>
        <w:bidi w:val="0"/>
        <w:adjustRightInd/>
        <w:spacing w:line="590" w:lineRule="exact"/>
        <w:ind w:firstLine="63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我司作为中国境内合法合规的医药配送企业，经营资质、硬件设施、人员配置等条件均符合贵院药品配送企业遴选要求，特此申请参与此次药品配送企业遴选。</w:t>
      </w:r>
      <w:r>
        <w:rPr>
          <w:rFonts w:hint="eastAsia" w:ascii="仿宋_GB2312" w:hAnsi="仿宋_GB2312" w:eastAsia="仿宋_GB2312" w:cs="仿宋_GB2312"/>
          <w:color w:val="auto"/>
          <w:sz w:val="32"/>
          <w:szCs w:val="32"/>
          <w:lang w:eastAsia="zh-CN"/>
        </w:rPr>
        <w:t>现我司委托</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作为授权代理人，负责本次遴选的相关工作。</w:t>
      </w:r>
      <w:r>
        <w:rPr>
          <w:rFonts w:hint="eastAsia" w:ascii="仿宋_GB2312" w:hAnsi="仿宋_GB2312" w:eastAsia="仿宋_GB2312" w:cs="仿宋_GB2312"/>
          <w:color w:val="auto"/>
          <w:sz w:val="32"/>
          <w:szCs w:val="32"/>
        </w:rPr>
        <w:t>我司承诺，提供递交的资料均合法有效。</w:t>
      </w:r>
    </w:p>
    <w:p w14:paraId="1DD5C2D1">
      <w:pPr>
        <w:pStyle w:val="2"/>
        <w:rPr>
          <w:rFonts w:hint="eastAsia" w:ascii="仿宋_GB2312" w:hAnsi="仿宋_GB2312" w:eastAsia="仿宋_GB2312" w:cs="仿宋_GB2312"/>
          <w:color w:val="auto"/>
          <w:sz w:val="32"/>
          <w:szCs w:val="32"/>
        </w:rPr>
      </w:pPr>
    </w:p>
    <w:p w14:paraId="1D17E824">
      <w:pPr>
        <w:pStyle w:val="2"/>
        <w:ind w:left="0" w:leftChars="0" w:firstLine="0" w:firstLine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法人（签字或盖章）：</w:t>
      </w:r>
    </w:p>
    <w:p w14:paraId="2F80EA79">
      <w:pPr>
        <w:pStyle w:val="2"/>
        <w:ind w:left="0" w:leftChars="0" w:firstLine="0" w:firstLine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授权代理人（签字或盖章）：</w:t>
      </w:r>
    </w:p>
    <w:p w14:paraId="1D82293C">
      <w:pPr>
        <w:pStyle w:val="2"/>
        <w:ind w:left="0" w:leftChars="0" w:firstLine="0" w:firstLine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授权代理人联系电话：</w:t>
      </w:r>
    </w:p>
    <w:p w14:paraId="36D1106C">
      <w:pPr>
        <w:keepNext w:val="0"/>
        <w:keepLines w:val="0"/>
        <w:pageBreakBefore w:val="0"/>
        <w:kinsoku/>
        <w:wordWrap/>
        <w:overflowPunct/>
        <w:topLinePunct w:val="0"/>
        <w:autoSpaceDE/>
        <w:autoSpaceDN/>
        <w:bidi w:val="0"/>
        <w:adjustRightInd/>
        <w:spacing w:line="590" w:lineRule="exact"/>
        <w:ind w:firstLine="630"/>
        <w:textAlignment w:val="auto"/>
        <w:rPr>
          <w:rFonts w:hint="eastAsia" w:ascii="仿宋_GB2312" w:hAnsi="仿宋_GB2312" w:eastAsia="仿宋_GB2312" w:cs="仿宋_GB2312"/>
          <w:color w:val="auto"/>
          <w:sz w:val="32"/>
          <w:szCs w:val="32"/>
        </w:rPr>
      </w:pPr>
    </w:p>
    <w:p w14:paraId="7C08D763">
      <w:pPr>
        <w:keepNext w:val="0"/>
        <w:keepLines w:val="0"/>
        <w:pageBreakBefore w:val="0"/>
        <w:kinsoku/>
        <w:wordWrap/>
        <w:overflowPunct/>
        <w:topLinePunct w:val="0"/>
        <w:autoSpaceDE/>
        <w:autoSpaceDN/>
        <w:bidi w:val="0"/>
        <w:adjustRightInd/>
        <w:spacing w:line="590" w:lineRule="exact"/>
        <w:textAlignment w:val="auto"/>
        <w:rPr>
          <w:rFonts w:hint="eastAsia" w:ascii="仿宋_GB2312" w:hAnsi="仿宋_GB2312" w:eastAsia="仿宋_GB2312" w:cs="仿宋_GB2312"/>
          <w:color w:val="auto"/>
          <w:sz w:val="32"/>
          <w:szCs w:val="32"/>
        </w:rPr>
      </w:pPr>
    </w:p>
    <w:p w14:paraId="6825AE94">
      <w:pPr>
        <w:keepNext w:val="0"/>
        <w:keepLines w:val="0"/>
        <w:pageBreakBefore w:val="0"/>
        <w:kinsoku/>
        <w:wordWrap/>
        <w:overflowPunct/>
        <w:topLinePunct w:val="0"/>
        <w:autoSpaceDE/>
        <w:autoSpaceDN/>
        <w:bidi w:val="0"/>
        <w:adjustRightInd/>
        <w:spacing w:line="590" w:lineRule="exact"/>
        <w:ind w:firstLine="63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企业公章</w:t>
      </w:r>
    </w:p>
    <w:p w14:paraId="386E0472">
      <w:pPr>
        <w:keepNext w:val="0"/>
        <w:keepLines w:val="0"/>
        <w:pageBreakBefore w:val="0"/>
        <w:kinsoku/>
        <w:wordWrap/>
        <w:overflowPunct/>
        <w:topLinePunct w:val="0"/>
        <w:autoSpaceDE/>
        <w:autoSpaceDN/>
        <w:bidi w:val="0"/>
        <w:adjustRightInd/>
        <w:spacing w:line="590" w:lineRule="exact"/>
        <w:textAlignment w:val="auto"/>
        <w:rPr>
          <w:rFonts w:hint="eastAsia" w:ascii="仿宋" w:hAnsi="仿宋" w:eastAsia="仿宋" w:cs="仿宋"/>
          <w:color w:val="auto"/>
          <w:sz w:val="30"/>
          <w:szCs w:val="30"/>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14:paraId="395D7460">
      <w:pPr>
        <w:numPr>
          <w:ilvl w:val="0"/>
          <w:numId w:val="0"/>
        </w:numPr>
        <w:ind w:leftChars="0"/>
        <w:rPr>
          <w:rFonts w:hint="eastAsia" w:ascii="仿宋" w:hAnsi="仿宋" w:eastAsia="仿宋" w:cs="仿宋"/>
          <w:b/>
          <w:bCs/>
          <w:sz w:val="32"/>
          <w:szCs w:val="32"/>
          <w:lang w:val="en-US" w:eastAsia="zh-CN"/>
        </w:rPr>
      </w:pPr>
    </w:p>
    <w:p w14:paraId="7DC83B8F">
      <w:pPr>
        <w:numPr>
          <w:ilvl w:val="0"/>
          <w:numId w:val="0"/>
        </w:numPr>
        <w:ind w:leftChars="0"/>
        <w:rPr>
          <w:rFonts w:hint="eastAsia" w:ascii="仿宋" w:hAnsi="仿宋" w:eastAsia="仿宋" w:cs="仿宋"/>
          <w:b/>
          <w:bCs/>
          <w:sz w:val="32"/>
          <w:szCs w:val="32"/>
          <w:lang w:val="en-US" w:eastAsia="zh-CN"/>
        </w:rPr>
      </w:pPr>
    </w:p>
    <w:p w14:paraId="70CED5F2">
      <w:pPr>
        <w:numPr>
          <w:ilvl w:val="0"/>
          <w:numId w:val="0"/>
        </w:numPr>
        <w:ind w:leftChars="0"/>
        <w:rPr>
          <w:rFonts w:hint="default" w:ascii="仿宋" w:hAnsi="仿宋" w:eastAsia="仿宋" w:cs="仿宋"/>
          <w:b w:val="0"/>
          <w:bCs w:val="0"/>
          <w:sz w:val="32"/>
          <w:szCs w:val="32"/>
          <w:lang w:val="en-US" w:eastAsia="zh-CN"/>
        </w:rPr>
      </w:pPr>
    </w:p>
    <w:p w14:paraId="1399EA68">
      <w:pPr>
        <w:pStyle w:val="2"/>
        <w:rPr>
          <w:rFonts w:hint="default" w:ascii="仿宋" w:hAnsi="仿宋" w:eastAsia="仿宋" w:cs="仿宋"/>
          <w:b w:val="0"/>
          <w:bCs w:val="0"/>
          <w:sz w:val="32"/>
          <w:szCs w:val="32"/>
          <w:lang w:val="en-US" w:eastAsia="zh-CN"/>
        </w:rPr>
      </w:pPr>
    </w:p>
    <w:p w14:paraId="3D2AD5DA">
      <w:pPr>
        <w:pStyle w:val="2"/>
        <w:rPr>
          <w:rFonts w:hint="default" w:ascii="仿宋" w:hAnsi="仿宋" w:eastAsia="仿宋" w:cs="仿宋"/>
          <w:b w:val="0"/>
          <w:bCs w:val="0"/>
          <w:sz w:val="32"/>
          <w:szCs w:val="32"/>
          <w:lang w:val="en-US" w:eastAsia="zh-CN"/>
        </w:rPr>
      </w:pPr>
    </w:p>
    <w:p w14:paraId="1D385A36">
      <w:pPr>
        <w:pStyle w:val="2"/>
        <w:ind w:left="0" w:leftChars="0" w:firstLine="0" w:firstLineChars="0"/>
        <w:rPr>
          <w:rFonts w:hint="default" w:ascii="仿宋" w:hAnsi="仿宋" w:eastAsia="仿宋" w:cs="仿宋"/>
          <w:b w:val="0"/>
          <w:bCs w:val="0"/>
          <w:sz w:val="32"/>
          <w:szCs w:val="32"/>
          <w:lang w:val="en-US" w:eastAsia="zh-CN"/>
        </w:rPr>
      </w:pPr>
    </w:p>
    <w:p w14:paraId="69ADB865">
      <w:pPr>
        <w:pStyle w:val="2"/>
        <w:rPr>
          <w:rFonts w:hint="default" w:ascii="仿宋" w:hAnsi="仿宋" w:eastAsia="仿宋" w:cs="仿宋"/>
          <w:b w:val="0"/>
          <w:bCs w:val="0"/>
          <w:sz w:val="32"/>
          <w:szCs w:val="32"/>
          <w:lang w:val="en-US" w:eastAsia="zh-CN"/>
        </w:rPr>
      </w:pPr>
    </w:p>
    <w:p w14:paraId="42A09502">
      <w:pPr>
        <w:widowControl/>
        <w:snapToGrid w:val="0"/>
        <w:jc w:val="left"/>
        <w:rPr>
          <w:rFonts w:hint="eastAsia" w:ascii="黑体" w:hAnsi="黑体" w:eastAsia="黑体" w:cs="黑体"/>
          <w:bCs/>
          <w:color w:val="auto"/>
          <w:kern w:val="0"/>
          <w:sz w:val="32"/>
          <w:szCs w:val="32"/>
          <w:lang w:eastAsia="zh-CN"/>
        </w:rPr>
      </w:pPr>
    </w:p>
    <w:p w14:paraId="7D5EFA0D">
      <w:pPr>
        <w:widowControl/>
        <w:snapToGrid w:val="0"/>
        <w:jc w:val="left"/>
        <w:rPr>
          <w:rFonts w:hint="eastAsia" w:ascii="仿宋_GB2312" w:hAnsi="仿宋_GB2312" w:eastAsia="仿宋_GB2312" w:cs="仿宋_GB2312"/>
          <w:color w:val="auto"/>
          <w:sz w:val="28"/>
          <w:szCs w:val="28"/>
        </w:rPr>
      </w:pPr>
      <w:r>
        <w:rPr>
          <w:rFonts w:hint="eastAsia" w:ascii="黑体" w:hAnsi="黑体" w:eastAsia="黑体" w:cs="黑体"/>
          <w:bCs/>
          <w:color w:val="auto"/>
          <w:kern w:val="0"/>
          <w:sz w:val="32"/>
          <w:szCs w:val="32"/>
          <w:lang w:eastAsia="zh-CN"/>
        </w:rPr>
        <w:t>附</w:t>
      </w:r>
      <w:r>
        <w:rPr>
          <w:rFonts w:hint="eastAsia" w:ascii="黑体" w:hAnsi="黑体" w:eastAsia="黑体" w:cs="黑体"/>
          <w:bCs/>
          <w:color w:val="auto"/>
          <w:kern w:val="0"/>
          <w:sz w:val="32"/>
          <w:szCs w:val="32"/>
        </w:rPr>
        <w:t>件2</w:t>
      </w:r>
    </w:p>
    <w:p w14:paraId="7384C324">
      <w:pPr>
        <w:widowControl/>
        <w:snapToGrid w:val="0"/>
        <w:jc w:val="center"/>
        <w:rPr>
          <w:rFonts w:hint="eastAsia" w:ascii="黑体" w:hAnsi="黑体" w:eastAsia="黑体" w:cs="黑体"/>
          <w:bCs/>
          <w:color w:val="auto"/>
          <w:kern w:val="0"/>
          <w:sz w:val="32"/>
          <w:szCs w:val="32"/>
        </w:rPr>
      </w:pPr>
      <w:r>
        <w:rPr>
          <w:rFonts w:hint="eastAsia" w:ascii="方正小标宋简体" w:hAnsi="黑体" w:eastAsia="方正小标宋简体" w:cs="Helvetica"/>
          <w:bCs/>
          <w:color w:val="auto"/>
          <w:kern w:val="0"/>
          <w:sz w:val="44"/>
          <w:szCs w:val="44"/>
        </w:rPr>
        <w:t>药品配送企业遴选条件审查表</w:t>
      </w:r>
    </w:p>
    <w:tbl>
      <w:tblPr>
        <w:tblStyle w:val="4"/>
        <w:tblW w:w="5305" w:type="pct"/>
        <w:tblInd w:w="-289" w:type="dxa"/>
        <w:tblLayout w:type="fixed"/>
        <w:tblCellMar>
          <w:top w:w="0" w:type="dxa"/>
          <w:left w:w="108" w:type="dxa"/>
          <w:bottom w:w="0" w:type="dxa"/>
          <w:right w:w="108" w:type="dxa"/>
        </w:tblCellMar>
      </w:tblPr>
      <w:tblGrid>
        <w:gridCol w:w="1145"/>
        <w:gridCol w:w="1089"/>
        <w:gridCol w:w="2352"/>
        <w:gridCol w:w="1408"/>
        <w:gridCol w:w="3837"/>
      </w:tblGrid>
      <w:tr w14:paraId="1F976D93">
        <w:tblPrEx>
          <w:tblCellMar>
            <w:top w:w="0" w:type="dxa"/>
            <w:left w:w="108" w:type="dxa"/>
            <w:bottom w:w="0" w:type="dxa"/>
            <w:right w:w="108" w:type="dxa"/>
          </w:tblCellMar>
        </w:tblPrEx>
        <w:trPr>
          <w:trHeight w:val="400" w:hRule="atLeast"/>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A0739A7">
            <w:pPr>
              <w:widowControl/>
              <w:jc w:val="center"/>
              <w:textAlignment w:val="center"/>
              <w:rPr>
                <w:rFonts w:hint="eastAsia" w:ascii="宋体" w:hAnsi="宋体" w:eastAsia="宋体" w:cs="宋体"/>
                <w:color w:val="auto"/>
                <w:kern w:val="0"/>
                <w:sz w:val="22"/>
                <w:szCs w:val="22"/>
                <w:lang w:eastAsia="zh-CN" w:bidi="ar"/>
              </w:rPr>
            </w:pPr>
            <w:r>
              <w:rPr>
                <w:rFonts w:hint="eastAsia" w:ascii="宋体" w:hAnsi="宋体" w:eastAsia="宋体" w:cs="宋体"/>
                <w:color w:val="auto"/>
                <w:kern w:val="0"/>
                <w:sz w:val="22"/>
                <w:szCs w:val="22"/>
                <w:lang w:eastAsia="zh-CN" w:bidi="ar"/>
              </w:rPr>
              <w:t>序号</w:t>
            </w:r>
          </w:p>
        </w:tc>
        <w:tc>
          <w:tcPr>
            <w:tcW w:w="3441" w:type="dxa"/>
            <w:gridSpan w:val="2"/>
            <w:tcBorders>
              <w:top w:val="single" w:color="000000" w:sz="4" w:space="0"/>
              <w:left w:val="single" w:color="000000" w:sz="4" w:space="0"/>
              <w:bottom w:val="single" w:color="000000" w:sz="4" w:space="0"/>
              <w:right w:val="single" w:color="000000" w:sz="4" w:space="0"/>
            </w:tcBorders>
            <w:noWrap w:val="0"/>
            <w:vAlign w:val="center"/>
          </w:tcPr>
          <w:p w14:paraId="7B775181">
            <w:pPr>
              <w:widowControl/>
              <w:textAlignment w:val="center"/>
              <w:rPr>
                <w:rFonts w:hint="eastAsia" w:ascii="宋体" w:hAnsi="宋体" w:eastAsia="宋体" w:cs="宋体"/>
                <w:color w:val="auto"/>
                <w:kern w:val="0"/>
                <w:sz w:val="22"/>
                <w:szCs w:val="22"/>
                <w:lang w:eastAsia="zh-CN" w:bidi="ar"/>
              </w:rPr>
            </w:pPr>
            <w:r>
              <w:rPr>
                <w:rFonts w:hint="eastAsia" w:ascii="宋体" w:hAnsi="宋体" w:eastAsia="宋体" w:cs="宋体"/>
                <w:color w:val="auto"/>
                <w:kern w:val="0"/>
                <w:sz w:val="22"/>
                <w:szCs w:val="22"/>
                <w:lang w:eastAsia="zh-CN" w:bidi="ar"/>
              </w:rPr>
              <w:t>遴选条件</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EC15E08">
            <w:pP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符合条件打√，否则打×</w:t>
            </w:r>
          </w:p>
        </w:tc>
        <w:tc>
          <w:tcPr>
            <w:tcW w:w="3837" w:type="dxa"/>
            <w:tcBorders>
              <w:top w:val="single" w:color="000000" w:sz="4" w:space="0"/>
              <w:left w:val="single" w:color="000000" w:sz="4" w:space="0"/>
              <w:bottom w:val="single" w:color="000000" w:sz="4" w:space="0"/>
              <w:right w:val="single" w:color="000000" w:sz="4" w:space="0"/>
            </w:tcBorders>
            <w:noWrap w:val="0"/>
            <w:vAlign w:val="center"/>
          </w:tcPr>
          <w:p w14:paraId="735738F0">
            <w:pPr>
              <w:widowControl/>
              <w:jc w:val="center"/>
              <w:textAlignment w:val="center"/>
              <w:rPr>
                <w:rFonts w:hint="eastAsia" w:ascii="宋体" w:hAnsi="宋体" w:eastAsia="宋体" w:cs="宋体"/>
                <w:color w:val="auto"/>
                <w:kern w:val="0"/>
                <w:sz w:val="22"/>
                <w:szCs w:val="22"/>
                <w:lang w:eastAsia="zh-CN" w:bidi="ar"/>
              </w:rPr>
            </w:pPr>
            <w:r>
              <w:rPr>
                <w:rFonts w:hint="eastAsia" w:ascii="宋体" w:hAnsi="宋体" w:eastAsia="宋体" w:cs="宋体"/>
                <w:color w:val="auto"/>
                <w:kern w:val="0"/>
                <w:sz w:val="22"/>
                <w:szCs w:val="22"/>
                <w:lang w:bidi="ar"/>
              </w:rPr>
              <w:t>证明材料</w:t>
            </w:r>
            <w:r>
              <w:rPr>
                <w:rFonts w:hint="eastAsia" w:ascii="宋体" w:hAnsi="宋体" w:eastAsia="宋体" w:cs="宋体"/>
                <w:color w:val="auto"/>
                <w:kern w:val="0"/>
                <w:sz w:val="22"/>
                <w:szCs w:val="22"/>
                <w:lang w:bidi="ar"/>
              </w:rPr>
              <w:br w:type="textWrapping"/>
            </w:r>
            <w:r>
              <w:rPr>
                <w:rFonts w:hint="eastAsia" w:ascii="宋体" w:hAnsi="宋体" w:eastAsia="宋体" w:cs="宋体"/>
                <w:color w:val="auto"/>
                <w:kern w:val="0"/>
                <w:sz w:val="22"/>
                <w:szCs w:val="22"/>
                <w:lang w:bidi="ar"/>
              </w:rPr>
              <w:t>（复印件按顺序装订，原件备查）</w:t>
            </w:r>
          </w:p>
        </w:tc>
      </w:tr>
      <w:tr w14:paraId="23F5ED6B">
        <w:tblPrEx>
          <w:tblCellMar>
            <w:top w:w="0" w:type="dxa"/>
            <w:left w:w="108" w:type="dxa"/>
            <w:bottom w:w="0" w:type="dxa"/>
            <w:right w:w="108" w:type="dxa"/>
          </w:tblCellMar>
        </w:tblPrEx>
        <w:trPr>
          <w:trHeight w:val="400" w:hRule="atLeast"/>
        </w:trPr>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6B09074D">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1</w:t>
            </w:r>
          </w:p>
        </w:tc>
        <w:tc>
          <w:tcPr>
            <w:tcW w:w="1089" w:type="dxa"/>
            <w:vMerge w:val="restart"/>
            <w:tcBorders>
              <w:top w:val="single" w:color="000000" w:sz="4" w:space="0"/>
              <w:left w:val="single" w:color="000000" w:sz="4" w:space="0"/>
              <w:bottom w:val="single" w:color="000000" w:sz="4" w:space="0"/>
              <w:right w:val="single" w:color="000000" w:sz="4" w:space="0"/>
            </w:tcBorders>
            <w:noWrap w:val="0"/>
            <w:vAlign w:val="center"/>
          </w:tcPr>
          <w:p w14:paraId="2ABCC980">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符合《中华人民共和国政府采购法》第二十二条的规定要求</w:t>
            </w:r>
          </w:p>
        </w:tc>
        <w:tc>
          <w:tcPr>
            <w:tcW w:w="23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654677D">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具有独立承担民事责任的能力</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BCA597">
            <w:pPr>
              <w:rPr>
                <w:rFonts w:hint="eastAsia" w:ascii="宋体" w:hAnsi="宋体" w:eastAsia="宋体" w:cs="宋体"/>
                <w:color w:val="auto"/>
                <w:sz w:val="22"/>
                <w:szCs w:val="22"/>
              </w:rPr>
            </w:pPr>
          </w:p>
        </w:tc>
        <w:tc>
          <w:tcPr>
            <w:tcW w:w="3837" w:type="dxa"/>
            <w:tcBorders>
              <w:top w:val="single" w:color="000000" w:sz="4" w:space="0"/>
              <w:left w:val="single" w:color="000000" w:sz="4" w:space="0"/>
              <w:bottom w:val="single" w:color="000000" w:sz="4" w:space="0"/>
              <w:right w:val="single" w:color="000000" w:sz="4" w:space="0"/>
            </w:tcBorders>
            <w:noWrap w:val="0"/>
            <w:vAlign w:val="center"/>
          </w:tcPr>
          <w:p w14:paraId="2E076276">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eastAsia="zh-CN" w:bidi="ar"/>
              </w:rPr>
              <w:t>（</w:t>
            </w:r>
            <w:r>
              <w:rPr>
                <w:rFonts w:hint="eastAsia" w:ascii="宋体" w:hAnsi="宋体" w:eastAsia="宋体" w:cs="宋体"/>
                <w:color w:val="auto"/>
                <w:kern w:val="0"/>
                <w:sz w:val="22"/>
                <w:szCs w:val="22"/>
                <w:lang w:val="en-US" w:eastAsia="zh-CN" w:bidi="ar"/>
              </w:rPr>
              <w:t>1</w:t>
            </w:r>
            <w:r>
              <w:rPr>
                <w:rFonts w:hint="eastAsia" w:ascii="宋体" w:hAnsi="宋体" w:eastAsia="宋体" w:cs="宋体"/>
                <w:color w:val="auto"/>
                <w:kern w:val="0"/>
                <w:sz w:val="22"/>
                <w:szCs w:val="22"/>
                <w:lang w:eastAsia="zh-CN" w:bidi="ar"/>
              </w:rPr>
              <w:t>）</w:t>
            </w:r>
            <w:r>
              <w:rPr>
                <w:rFonts w:hint="eastAsia" w:ascii="宋体" w:hAnsi="宋体" w:eastAsia="宋体" w:cs="宋体"/>
                <w:color w:val="auto"/>
                <w:kern w:val="0"/>
                <w:sz w:val="22"/>
                <w:szCs w:val="22"/>
                <w:lang w:bidi="ar"/>
              </w:rPr>
              <w:t>企业法人证书</w:t>
            </w:r>
          </w:p>
        </w:tc>
      </w:tr>
      <w:tr w14:paraId="06C86252">
        <w:tblPrEx>
          <w:tblCellMar>
            <w:top w:w="0" w:type="dxa"/>
            <w:left w:w="108" w:type="dxa"/>
            <w:bottom w:w="0" w:type="dxa"/>
            <w:right w:w="108" w:type="dxa"/>
          </w:tblCellMar>
        </w:tblPrEx>
        <w:trPr>
          <w:trHeight w:val="599" w:hRule="atLeast"/>
        </w:trPr>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C65D2">
            <w:pPr>
              <w:jc w:val="center"/>
              <w:rPr>
                <w:rFonts w:hint="eastAsia" w:ascii="宋体" w:hAnsi="宋体" w:eastAsia="宋体" w:cs="宋体"/>
                <w:color w:val="auto"/>
                <w:sz w:val="22"/>
                <w:szCs w:val="22"/>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54404">
            <w:pPr>
              <w:rPr>
                <w:rFonts w:hint="eastAsia" w:ascii="宋体" w:hAnsi="宋体" w:eastAsia="宋体" w:cs="宋体"/>
                <w:color w:val="auto"/>
                <w:sz w:val="22"/>
                <w:szCs w:val="22"/>
              </w:rPr>
            </w:pPr>
          </w:p>
        </w:tc>
        <w:tc>
          <w:tcPr>
            <w:tcW w:w="23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576D7">
            <w:pPr>
              <w:rPr>
                <w:rFonts w:hint="eastAsia" w:ascii="宋体" w:hAnsi="宋体" w:eastAsia="宋体" w:cs="宋体"/>
                <w:color w:val="auto"/>
                <w:sz w:val="22"/>
                <w:szCs w:val="22"/>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DF22E">
            <w:pPr>
              <w:rPr>
                <w:rFonts w:hint="eastAsia" w:ascii="宋体" w:hAnsi="宋体" w:eastAsia="宋体" w:cs="宋体"/>
                <w:color w:val="auto"/>
                <w:sz w:val="22"/>
                <w:szCs w:val="22"/>
              </w:rPr>
            </w:pPr>
          </w:p>
        </w:tc>
        <w:tc>
          <w:tcPr>
            <w:tcW w:w="3837" w:type="dxa"/>
            <w:tcBorders>
              <w:top w:val="single" w:color="000000" w:sz="4" w:space="0"/>
              <w:left w:val="single" w:color="000000" w:sz="4" w:space="0"/>
              <w:bottom w:val="single" w:color="000000" w:sz="4" w:space="0"/>
              <w:right w:val="single" w:color="000000" w:sz="4" w:space="0"/>
            </w:tcBorders>
            <w:noWrap w:val="0"/>
            <w:vAlign w:val="center"/>
          </w:tcPr>
          <w:p w14:paraId="2F2FE834">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eastAsia="zh-CN" w:bidi="ar"/>
              </w:rPr>
              <w:t>（</w:t>
            </w:r>
            <w:r>
              <w:rPr>
                <w:rFonts w:hint="eastAsia" w:ascii="宋体" w:hAnsi="宋体" w:eastAsia="宋体" w:cs="宋体"/>
                <w:color w:val="auto"/>
                <w:kern w:val="0"/>
                <w:sz w:val="22"/>
                <w:szCs w:val="22"/>
                <w:lang w:val="en-US" w:eastAsia="zh-CN" w:bidi="ar"/>
              </w:rPr>
              <w:t>2</w:t>
            </w:r>
            <w:r>
              <w:rPr>
                <w:rFonts w:hint="eastAsia" w:ascii="宋体" w:hAnsi="宋体" w:eastAsia="宋体" w:cs="宋体"/>
                <w:color w:val="auto"/>
                <w:kern w:val="0"/>
                <w:sz w:val="22"/>
                <w:szCs w:val="22"/>
                <w:lang w:eastAsia="zh-CN" w:bidi="ar"/>
              </w:rPr>
              <w:t>）</w:t>
            </w:r>
            <w:r>
              <w:rPr>
                <w:rFonts w:hint="eastAsia" w:ascii="宋体" w:hAnsi="宋体" w:eastAsia="宋体" w:cs="宋体"/>
                <w:color w:val="auto"/>
                <w:kern w:val="0"/>
                <w:sz w:val="22"/>
                <w:szCs w:val="22"/>
                <w:lang w:bidi="ar"/>
              </w:rPr>
              <w:t>“信用中国”企业信用服务查询结果截图</w:t>
            </w:r>
          </w:p>
        </w:tc>
      </w:tr>
      <w:tr w14:paraId="450EC2A3">
        <w:tblPrEx>
          <w:tblCellMar>
            <w:top w:w="0" w:type="dxa"/>
            <w:left w:w="108" w:type="dxa"/>
            <w:bottom w:w="0" w:type="dxa"/>
            <w:right w:w="108" w:type="dxa"/>
          </w:tblCellMar>
        </w:tblPrEx>
        <w:trPr>
          <w:trHeight w:val="516" w:hRule="atLeast"/>
        </w:trPr>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A3696">
            <w:pPr>
              <w:jc w:val="center"/>
              <w:rPr>
                <w:rFonts w:hint="eastAsia" w:ascii="宋体" w:hAnsi="宋体" w:eastAsia="宋体" w:cs="宋体"/>
                <w:color w:val="auto"/>
                <w:sz w:val="22"/>
                <w:szCs w:val="22"/>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66F62">
            <w:pPr>
              <w:rPr>
                <w:rFonts w:hint="eastAsia" w:ascii="宋体" w:hAnsi="宋体" w:eastAsia="宋体" w:cs="宋体"/>
                <w:color w:val="auto"/>
                <w:sz w:val="22"/>
                <w:szCs w:val="22"/>
              </w:rPr>
            </w:pPr>
          </w:p>
        </w:tc>
        <w:tc>
          <w:tcPr>
            <w:tcW w:w="23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6E0E9">
            <w:pPr>
              <w:rPr>
                <w:rFonts w:hint="eastAsia" w:ascii="宋体" w:hAnsi="宋体" w:eastAsia="宋体" w:cs="宋体"/>
                <w:color w:val="auto"/>
                <w:sz w:val="22"/>
                <w:szCs w:val="22"/>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978C7">
            <w:pPr>
              <w:rPr>
                <w:rFonts w:hint="eastAsia" w:ascii="宋体" w:hAnsi="宋体" w:eastAsia="宋体" w:cs="宋体"/>
                <w:color w:val="auto"/>
                <w:sz w:val="22"/>
                <w:szCs w:val="22"/>
              </w:rPr>
            </w:pPr>
          </w:p>
        </w:tc>
        <w:tc>
          <w:tcPr>
            <w:tcW w:w="3837" w:type="dxa"/>
            <w:tcBorders>
              <w:top w:val="single" w:color="000000" w:sz="4" w:space="0"/>
              <w:left w:val="single" w:color="000000" w:sz="4" w:space="0"/>
              <w:bottom w:val="single" w:color="000000" w:sz="4" w:space="0"/>
              <w:right w:val="single" w:color="000000" w:sz="4" w:space="0"/>
            </w:tcBorders>
            <w:noWrap w:val="0"/>
            <w:vAlign w:val="center"/>
          </w:tcPr>
          <w:p w14:paraId="679BE789">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eastAsia="zh-CN" w:bidi="ar"/>
              </w:rPr>
              <w:t>（</w:t>
            </w:r>
            <w:r>
              <w:rPr>
                <w:rFonts w:hint="eastAsia" w:ascii="宋体" w:hAnsi="宋体" w:eastAsia="宋体" w:cs="宋体"/>
                <w:color w:val="auto"/>
                <w:kern w:val="0"/>
                <w:sz w:val="22"/>
                <w:szCs w:val="22"/>
                <w:lang w:val="en-US" w:eastAsia="zh-CN" w:bidi="ar"/>
              </w:rPr>
              <w:t>3</w:t>
            </w:r>
            <w:r>
              <w:rPr>
                <w:rFonts w:hint="eastAsia" w:ascii="宋体" w:hAnsi="宋体" w:eastAsia="宋体" w:cs="宋体"/>
                <w:color w:val="auto"/>
                <w:kern w:val="0"/>
                <w:sz w:val="22"/>
                <w:szCs w:val="22"/>
                <w:lang w:eastAsia="zh-CN" w:bidi="ar"/>
              </w:rPr>
              <w:t>）</w:t>
            </w:r>
            <w:r>
              <w:rPr>
                <w:rFonts w:hint="eastAsia" w:ascii="宋体" w:hAnsi="宋体" w:eastAsia="宋体" w:cs="宋体"/>
                <w:color w:val="auto"/>
                <w:kern w:val="0"/>
                <w:sz w:val="22"/>
                <w:szCs w:val="22"/>
                <w:lang w:bidi="ar"/>
              </w:rPr>
              <w:t>《营业执照》、《药品经营许可证》</w:t>
            </w:r>
          </w:p>
        </w:tc>
      </w:tr>
      <w:tr w14:paraId="568A4B0B">
        <w:tblPrEx>
          <w:tblCellMar>
            <w:top w:w="0" w:type="dxa"/>
            <w:left w:w="108" w:type="dxa"/>
            <w:bottom w:w="0" w:type="dxa"/>
            <w:right w:w="108" w:type="dxa"/>
          </w:tblCellMar>
        </w:tblPrEx>
        <w:trPr>
          <w:trHeight w:val="1890" w:hRule="atLeast"/>
        </w:trPr>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768BA">
            <w:pPr>
              <w:jc w:val="center"/>
              <w:rPr>
                <w:rFonts w:hint="eastAsia" w:ascii="宋体" w:hAnsi="宋体" w:eastAsia="宋体" w:cs="宋体"/>
                <w:color w:val="auto"/>
                <w:sz w:val="22"/>
                <w:szCs w:val="22"/>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39C34">
            <w:pPr>
              <w:rPr>
                <w:rFonts w:hint="eastAsia" w:ascii="宋体" w:hAnsi="宋体" w:eastAsia="宋体" w:cs="宋体"/>
                <w:color w:val="auto"/>
                <w:sz w:val="22"/>
                <w:szCs w:val="22"/>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18815553">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具有良好的商业信誉和健全的财务会计制度</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95F4C75">
            <w:pPr>
              <w:rPr>
                <w:rFonts w:hint="eastAsia" w:ascii="宋体" w:hAnsi="宋体" w:eastAsia="宋体" w:cs="宋体"/>
                <w:color w:val="auto"/>
                <w:sz w:val="22"/>
                <w:szCs w:val="22"/>
              </w:rPr>
            </w:pPr>
          </w:p>
        </w:tc>
        <w:tc>
          <w:tcPr>
            <w:tcW w:w="3837" w:type="dxa"/>
            <w:tcBorders>
              <w:top w:val="single" w:color="000000" w:sz="4" w:space="0"/>
              <w:left w:val="single" w:color="000000" w:sz="4" w:space="0"/>
              <w:bottom w:val="single" w:color="000000" w:sz="4" w:space="0"/>
              <w:right w:val="single" w:color="000000" w:sz="4" w:space="0"/>
            </w:tcBorders>
            <w:noWrap w:val="0"/>
            <w:vAlign w:val="center"/>
          </w:tcPr>
          <w:p w14:paraId="42484B6B">
            <w:pPr>
              <w:widowControl/>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 xml:space="preserve">以下平台的查询记录截图： </w:t>
            </w:r>
          </w:p>
          <w:p w14:paraId="2B920F2D">
            <w:pPr>
              <w:widowControl/>
              <w:textAlignment w:val="center"/>
              <w:rPr>
                <w:rFonts w:hint="eastAsia" w:ascii="宋体" w:hAnsi="宋体" w:eastAsia="宋体" w:cs="宋体"/>
                <w:color w:val="auto"/>
                <w:kern w:val="0"/>
                <w:sz w:val="22"/>
                <w:szCs w:val="22"/>
                <w:lang w:bidi="ar"/>
              </w:rPr>
            </w:pPr>
            <w:r>
              <w:rPr>
                <w:rFonts w:ascii="宋体" w:hAnsi="宋体" w:eastAsia="宋体" w:cs="宋体"/>
                <w:color w:val="auto"/>
                <w:kern w:val="0"/>
                <w:sz w:val="22"/>
                <w:szCs w:val="22"/>
                <w:lang w:bidi="ar"/>
              </w:rPr>
              <w:t>（</w:t>
            </w:r>
            <w:r>
              <w:rPr>
                <w:rFonts w:hint="eastAsia" w:ascii="宋体" w:hAnsi="宋体" w:eastAsia="宋体" w:cs="宋体"/>
                <w:color w:val="auto"/>
                <w:kern w:val="0"/>
                <w:sz w:val="22"/>
                <w:szCs w:val="22"/>
                <w:lang w:bidi="ar"/>
              </w:rPr>
              <w:t>1</w:t>
            </w:r>
            <w:r>
              <w:rPr>
                <w:rFonts w:ascii="宋体" w:hAnsi="宋体" w:eastAsia="宋体" w:cs="宋体"/>
                <w:color w:val="auto"/>
                <w:kern w:val="0"/>
                <w:sz w:val="22"/>
                <w:szCs w:val="22"/>
                <w:lang w:bidi="ar"/>
              </w:rPr>
              <w:t xml:space="preserve">）中国裁判文书网 </w:t>
            </w:r>
          </w:p>
          <w:p w14:paraId="78B5DF63">
            <w:pPr>
              <w:widowControl/>
              <w:textAlignment w:val="center"/>
              <w:rPr>
                <w:rFonts w:hint="eastAsia" w:ascii="宋体" w:hAnsi="宋体" w:eastAsia="宋体" w:cs="宋体"/>
                <w:color w:val="auto"/>
                <w:kern w:val="0"/>
                <w:sz w:val="22"/>
                <w:szCs w:val="22"/>
                <w:lang w:bidi="ar"/>
              </w:rPr>
            </w:pPr>
            <w:r>
              <w:rPr>
                <w:rFonts w:ascii="宋体" w:hAnsi="宋体" w:eastAsia="宋体" w:cs="宋体"/>
                <w:color w:val="auto"/>
                <w:kern w:val="0"/>
                <w:sz w:val="22"/>
                <w:szCs w:val="22"/>
                <w:lang w:bidi="ar"/>
              </w:rPr>
              <w:t xml:space="preserve">（2）“信用中国”网站 </w:t>
            </w:r>
          </w:p>
          <w:p w14:paraId="068BF6CD">
            <w:pPr>
              <w:widowControl/>
              <w:textAlignment w:val="center"/>
              <w:rPr>
                <w:rFonts w:hint="eastAsia" w:ascii="宋体" w:hAnsi="宋体" w:eastAsia="宋体" w:cs="宋体"/>
                <w:color w:val="auto"/>
                <w:kern w:val="0"/>
                <w:sz w:val="22"/>
                <w:szCs w:val="22"/>
                <w:lang w:bidi="ar"/>
              </w:rPr>
            </w:pPr>
            <w:r>
              <w:rPr>
                <w:rFonts w:ascii="宋体" w:hAnsi="宋体" w:eastAsia="宋体" w:cs="宋体"/>
                <w:color w:val="auto"/>
                <w:kern w:val="0"/>
                <w:sz w:val="22"/>
                <w:szCs w:val="22"/>
                <w:lang w:bidi="ar"/>
              </w:rPr>
              <w:t xml:space="preserve">（3）中国政府采购网的“政府采购严重违法失信行为记录名单” </w:t>
            </w:r>
          </w:p>
          <w:p w14:paraId="29706347">
            <w:pPr>
              <w:widowControl/>
              <w:textAlignment w:val="center"/>
              <w:rPr>
                <w:rFonts w:hint="eastAsia" w:ascii="宋体" w:hAnsi="宋体" w:eastAsia="宋体" w:cs="宋体"/>
                <w:color w:val="auto"/>
                <w:kern w:val="0"/>
                <w:sz w:val="22"/>
                <w:szCs w:val="22"/>
                <w:lang w:bidi="ar"/>
              </w:rPr>
            </w:pPr>
            <w:r>
              <w:rPr>
                <w:rFonts w:ascii="宋体" w:hAnsi="宋体" w:eastAsia="宋体" w:cs="宋体"/>
                <w:color w:val="auto"/>
                <w:kern w:val="0"/>
                <w:sz w:val="22"/>
                <w:szCs w:val="22"/>
                <w:lang w:bidi="ar"/>
              </w:rPr>
              <w:t xml:space="preserve">（4）中国市场监管行政处罚文书网 </w:t>
            </w:r>
          </w:p>
          <w:p w14:paraId="057BA60E">
            <w:pPr>
              <w:widowControl/>
              <w:textAlignment w:val="center"/>
              <w:rPr>
                <w:rFonts w:hint="eastAsia" w:ascii="宋体" w:hAnsi="宋体" w:eastAsia="宋体" w:cs="宋体"/>
                <w:color w:val="auto"/>
                <w:kern w:val="0"/>
                <w:sz w:val="22"/>
                <w:szCs w:val="22"/>
                <w:lang w:bidi="ar"/>
              </w:rPr>
            </w:pPr>
            <w:r>
              <w:rPr>
                <w:rFonts w:ascii="宋体" w:hAnsi="宋体" w:eastAsia="宋体" w:cs="宋体"/>
                <w:color w:val="auto"/>
                <w:kern w:val="0"/>
                <w:sz w:val="22"/>
                <w:szCs w:val="22"/>
                <w:lang w:bidi="ar"/>
              </w:rPr>
              <w:t>（5）国家企业信用信息公示系统</w:t>
            </w:r>
          </w:p>
        </w:tc>
      </w:tr>
      <w:tr w14:paraId="6E0B874E">
        <w:tblPrEx>
          <w:tblCellMar>
            <w:top w:w="0" w:type="dxa"/>
            <w:left w:w="108" w:type="dxa"/>
            <w:bottom w:w="0" w:type="dxa"/>
            <w:right w:w="108" w:type="dxa"/>
          </w:tblCellMar>
        </w:tblPrEx>
        <w:trPr>
          <w:trHeight w:val="660" w:hRule="atLeast"/>
        </w:trPr>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5B7C7">
            <w:pPr>
              <w:jc w:val="center"/>
              <w:rPr>
                <w:rFonts w:hint="eastAsia" w:ascii="宋体" w:hAnsi="宋体" w:eastAsia="宋体" w:cs="宋体"/>
                <w:color w:val="auto"/>
                <w:sz w:val="22"/>
                <w:szCs w:val="22"/>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1CBDB">
            <w:pPr>
              <w:rPr>
                <w:rFonts w:hint="eastAsia" w:ascii="宋体" w:hAnsi="宋体" w:eastAsia="宋体" w:cs="宋体"/>
                <w:color w:val="auto"/>
                <w:sz w:val="22"/>
                <w:szCs w:val="22"/>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388DA6FA">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有依法缴纳税收和社会保障资金的良好记录</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1A5A70A">
            <w:pPr>
              <w:rPr>
                <w:rFonts w:hint="eastAsia" w:ascii="宋体" w:hAnsi="宋体" w:eastAsia="宋体" w:cs="宋体"/>
                <w:color w:val="auto"/>
                <w:sz w:val="22"/>
                <w:szCs w:val="22"/>
              </w:rPr>
            </w:pPr>
          </w:p>
        </w:tc>
        <w:tc>
          <w:tcPr>
            <w:tcW w:w="3837" w:type="dxa"/>
            <w:tcBorders>
              <w:top w:val="single" w:color="000000" w:sz="4" w:space="0"/>
              <w:left w:val="single" w:color="000000" w:sz="4" w:space="0"/>
              <w:bottom w:val="single" w:color="000000" w:sz="4" w:space="0"/>
              <w:right w:val="single" w:color="000000" w:sz="4" w:space="0"/>
            </w:tcBorders>
            <w:noWrap w:val="0"/>
            <w:vAlign w:val="center"/>
          </w:tcPr>
          <w:p w14:paraId="4E081BD7">
            <w:pPr>
              <w:widowControl/>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出具上年度纳税信用评价信息（复印件加盖公章），以及近6</w:t>
            </w:r>
            <w:r>
              <w:rPr>
                <w:rFonts w:ascii="宋体" w:hAnsi="宋体" w:eastAsia="宋体" w:cs="宋体"/>
                <w:color w:val="auto"/>
                <w:kern w:val="0"/>
                <w:sz w:val="22"/>
                <w:szCs w:val="22"/>
                <w:lang w:bidi="ar"/>
              </w:rPr>
              <w:t xml:space="preserve">个月内连续3个月缴纳社会保障资金的记录（复印件加盖公章） </w:t>
            </w:r>
          </w:p>
        </w:tc>
      </w:tr>
      <w:tr w14:paraId="5B9FCA33">
        <w:tblPrEx>
          <w:tblCellMar>
            <w:top w:w="0" w:type="dxa"/>
            <w:left w:w="108" w:type="dxa"/>
            <w:bottom w:w="0" w:type="dxa"/>
            <w:right w:w="108" w:type="dxa"/>
          </w:tblCellMar>
        </w:tblPrEx>
        <w:trPr>
          <w:trHeight w:val="810" w:hRule="atLeast"/>
        </w:trPr>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FC5AE">
            <w:pPr>
              <w:jc w:val="center"/>
              <w:rPr>
                <w:rFonts w:hint="eastAsia" w:ascii="宋体" w:hAnsi="宋体" w:eastAsia="宋体" w:cs="宋体"/>
                <w:color w:val="auto"/>
                <w:sz w:val="22"/>
                <w:szCs w:val="22"/>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6ED03">
            <w:pPr>
              <w:rPr>
                <w:rFonts w:hint="eastAsia" w:ascii="宋体" w:hAnsi="宋体" w:eastAsia="宋体" w:cs="宋体"/>
                <w:color w:val="auto"/>
                <w:sz w:val="22"/>
                <w:szCs w:val="22"/>
              </w:rPr>
            </w:pPr>
          </w:p>
        </w:tc>
        <w:tc>
          <w:tcPr>
            <w:tcW w:w="23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3192500">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参加政府采购活动前三年内，在经营活动中没有重大违法记录</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61A55BE">
            <w:pPr>
              <w:rPr>
                <w:rFonts w:hint="eastAsia" w:ascii="宋体" w:hAnsi="宋体" w:eastAsia="宋体" w:cs="宋体"/>
                <w:color w:val="auto"/>
                <w:sz w:val="22"/>
                <w:szCs w:val="22"/>
              </w:rPr>
            </w:pPr>
          </w:p>
        </w:tc>
        <w:tc>
          <w:tcPr>
            <w:tcW w:w="3837" w:type="dxa"/>
            <w:tcBorders>
              <w:top w:val="single" w:color="000000" w:sz="4" w:space="0"/>
              <w:left w:val="single" w:color="000000" w:sz="4" w:space="0"/>
              <w:bottom w:val="single" w:color="000000" w:sz="4" w:space="0"/>
              <w:right w:val="single" w:color="000000" w:sz="4" w:space="0"/>
            </w:tcBorders>
            <w:noWrap w:val="0"/>
            <w:vAlign w:val="center"/>
          </w:tcPr>
          <w:p w14:paraId="1784149D">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国家企业信用信息公示系统、当地政府部门或相关监管机构的官方网站等查询结果</w:t>
            </w:r>
          </w:p>
        </w:tc>
      </w:tr>
      <w:tr w14:paraId="43A3E157">
        <w:tblPrEx>
          <w:tblCellMar>
            <w:top w:w="0" w:type="dxa"/>
            <w:left w:w="108" w:type="dxa"/>
            <w:bottom w:w="0" w:type="dxa"/>
            <w:right w:w="108" w:type="dxa"/>
          </w:tblCellMar>
        </w:tblPrEx>
        <w:trPr>
          <w:trHeight w:val="540" w:hRule="atLeast"/>
        </w:trPr>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CCD18">
            <w:pPr>
              <w:jc w:val="center"/>
              <w:rPr>
                <w:rFonts w:hint="eastAsia" w:ascii="宋体" w:hAnsi="宋体" w:eastAsia="宋体" w:cs="宋体"/>
                <w:color w:val="auto"/>
                <w:sz w:val="22"/>
                <w:szCs w:val="22"/>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0D8DC">
            <w:pPr>
              <w:rPr>
                <w:rFonts w:hint="eastAsia" w:ascii="宋体" w:hAnsi="宋体" w:eastAsia="宋体" w:cs="宋体"/>
                <w:color w:val="auto"/>
                <w:sz w:val="22"/>
                <w:szCs w:val="22"/>
              </w:rPr>
            </w:pPr>
          </w:p>
        </w:tc>
        <w:tc>
          <w:tcPr>
            <w:tcW w:w="23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CC1D1">
            <w:pPr>
              <w:rPr>
                <w:rFonts w:hint="eastAsia" w:ascii="宋体" w:hAnsi="宋体" w:eastAsia="宋体" w:cs="宋体"/>
                <w:color w:val="auto"/>
                <w:sz w:val="22"/>
                <w:szCs w:val="22"/>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5E2FB">
            <w:pPr>
              <w:rPr>
                <w:rFonts w:hint="eastAsia" w:ascii="宋体" w:hAnsi="宋体" w:eastAsia="宋体" w:cs="宋体"/>
                <w:color w:val="auto"/>
                <w:sz w:val="22"/>
                <w:szCs w:val="22"/>
              </w:rPr>
            </w:pPr>
          </w:p>
        </w:tc>
        <w:tc>
          <w:tcPr>
            <w:tcW w:w="3837" w:type="dxa"/>
            <w:tcBorders>
              <w:top w:val="single" w:color="000000" w:sz="4" w:space="0"/>
              <w:left w:val="single" w:color="000000" w:sz="4" w:space="0"/>
              <w:bottom w:val="single" w:color="000000" w:sz="4" w:space="0"/>
              <w:right w:val="single" w:color="000000" w:sz="4" w:space="0"/>
            </w:tcBorders>
            <w:noWrap w:val="0"/>
            <w:vAlign w:val="center"/>
          </w:tcPr>
          <w:p w14:paraId="43B53CEA">
            <w:pPr>
              <w:widowControl/>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上一合同周期内合作的配送企业未发生不良</w:t>
            </w:r>
            <w:r>
              <w:rPr>
                <w:rFonts w:ascii="宋体" w:hAnsi="宋体" w:eastAsia="宋体" w:cs="宋体"/>
                <w:color w:val="auto"/>
                <w:kern w:val="0"/>
                <w:sz w:val="22"/>
                <w:szCs w:val="22"/>
                <w:lang w:bidi="ar"/>
              </w:rPr>
              <w:t>配送事件（以本医院记录为参考，企业不必提供此项）</w:t>
            </w:r>
          </w:p>
        </w:tc>
      </w:tr>
      <w:tr w14:paraId="617EBF10">
        <w:tblPrEx>
          <w:tblCellMar>
            <w:top w:w="0" w:type="dxa"/>
            <w:left w:w="108" w:type="dxa"/>
            <w:bottom w:w="0" w:type="dxa"/>
            <w:right w:w="108" w:type="dxa"/>
          </w:tblCellMar>
        </w:tblPrEx>
        <w:trPr>
          <w:trHeight w:val="540" w:hRule="atLeast"/>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70676C5">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2</w:t>
            </w:r>
          </w:p>
        </w:tc>
        <w:tc>
          <w:tcPr>
            <w:tcW w:w="3441" w:type="dxa"/>
            <w:gridSpan w:val="2"/>
            <w:tcBorders>
              <w:top w:val="single" w:color="000000" w:sz="4" w:space="0"/>
              <w:left w:val="single" w:color="000000" w:sz="4" w:space="0"/>
              <w:bottom w:val="single" w:color="000000" w:sz="4" w:space="0"/>
              <w:right w:val="single" w:color="000000" w:sz="4" w:space="0"/>
            </w:tcBorders>
            <w:noWrap w:val="0"/>
            <w:vAlign w:val="center"/>
          </w:tcPr>
          <w:p w14:paraId="72B3C82C">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药品配送企业需严格执行“两票制”</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6D1F6D8">
            <w:pPr>
              <w:rPr>
                <w:rFonts w:hint="eastAsia" w:ascii="宋体" w:hAnsi="宋体" w:eastAsia="宋体" w:cs="宋体"/>
                <w:color w:val="auto"/>
                <w:sz w:val="22"/>
                <w:szCs w:val="22"/>
              </w:rPr>
            </w:pPr>
          </w:p>
        </w:tc>
        <w:tc>
          <w:tcPr>
            <w:tcW w:w="3837" w:type="dxa"/>
            <w:tcBorders>
              <w:top w:val="single" w:color="000000" w:sz="4" w:space="0"/>
              <w:left w:val="single" w:color="000000" w:sz="4" w:space="0"/>
              <w:bottom w:val="single" w:color="000000" w:sz="4" w:space="0"/>
              <w:right w:val="single" w:color="000000" w:sz="4" w:space="0"/>
            </w:tcBorders>
            <w:noWrap w:val="0"/>
            <w:vAlign w:val="center"/>
          </w:tcPr>
          <w:p w14:paraId="090DC870">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附佐证材料</w:t>
            </w:r>
          </w:p>
        </w:tc>
      </w:tr>
      <w:tr w14:paraId="2F63C2B0">
        <w:tblPrEx>
          <w:tblCellMar>
            <w:top w:w="0" w:type="dxa"/>
            <w:left w:w="108" w:type="dxa"/>
            <w:bottom w:w="0" w:type="dxa"/>
            <w:right w:w="108" w:type="dxa"/>
          </w:tblCellMar>
        </w:tblPrEx>
        <w:trPr>
          <w:trHeight w:val="600" w:hRule="atLeast"/>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629B9DC">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3</w:t>
            </w:r>
          </w:p>
        </w:tc>
        <w:tc>
          <w:tcPr>
            <w:tcW w:w="3441" w:type="dxa"/>
            <w:gridSpan w:val="2"/>
            <w:tcBorders>
              <w:top w:val="single" w:color="000000" w:sz="4" w:space="0"/>
              <w:left w:val="single" w:color="000000" w:sz="4" w:space="0"/>
              <w:bottom w:val="single" w:color="000000" w:sz="4" w:space="0"/>
              <w:right w:val="single" w:color="000000" w:sz="4" w:space="0"/>
            </w:tcBorders>
            <w:noWrap w:val="0"/>
            <w:vAlign w:val="center"/>
          </w:tcPr>
          <w:p w14:paraId="2B418F3E">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西药、中成药配送企业必须具有广西药品和医用耗材招采管理系统的配送企业资质</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6AA4B2C">
            <w:pPr>
              <w:rPr>
                <w:rFonts w:hint="eastAsia" w:ascii="宋体" w:hAnsi="宋体" w:eastAsia="宋体" w:cs="宋体"/>
                <w:color w:val="auto"/>
                <w:sz w:val="22"/>
                <w:szCs w:val="22"/>
              </w:rPr>
            </w:pPr>
          </w:p>
        </w:tc>
        <w:tc>
          <w:tcPr>
            <w:tcW w:w="3837" w:type="dxa"/>
            <w:tcBorders>
              <w:top w:val="single" w:color="000000" w:sz="4" w:space="0"/>
              <w:left w:val="single" w:color="000000" w:sz="4" w:space="0"/>
              <w:bottom w:val="single" w:color="000000" w:sz="4" w:space="0"/>
              <w:right w:val="single" w:color="000000" w:sz="4" w:space="0"/>
            </w:tcBorders>
            <w:noWrap w:val="0"/>
            <w:vAlign w:val="center"/>
          </w:tcPr>
          <w:p w14:paraId="23CE9075">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附佐证材料</w:t>
            </w:r>
          </w:p>
        </w:tc>
      </w:tr>
      <w:tr w14:paraId="466AC5AF">
        <w:tblPrEx>
          <w:tblCellMar>
            <w:top w:w="0" w:type="dxa"/>
            <w:left w:w="108" w:type="dxa"/>
            <w:bottom w:w="0" w:type="dxa"/>
            <w:right w:w="108" w:type="dxa"/>
          </w:tblCellMar>
        </w:tblPrEx>
        <w:trPr>
          <w:trHeight w:val="1005" w:hRule="atLeast"/>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6D3C96A">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4</w:t>
            </w:r>
          </w:p>
        </w:tc>
        <w:tc>
          <w:tcPr>
            <w:tcW w:w="3441" w:type="dxa"/>
            <w:gridSpan w:val="2"/>
            <w:tcBorders>
              <w:top w:val="single" w:color="000000" w:sz="4" w:space="0"/>
              <w:left w:val="single" w:color="000000" w:sz="4" w:space="0"/>
              <w:bottom w:val="single" w:color="000000" w:sz="4" w:space="0"/>
              <w:right w:val="single" w:color="000000" w:sz="4" w:space="0"/>
            </w:tcBorders>
            <w:noWrap w:val="0"/>
            <w:vAlign w:val="center"/>
          </w:tcPr>
          <w:p w14:paraId="3C232A86">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药品配送企业负责人为同一人或者存在直接控股、管理关系的不同配送企业，不得同时参加遴选活动</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C2CD054">
            <w:pPr>
              <w:rPr>
                <w:rFonts w:hint="eastAsia" w:ascii="宋体" w:hAnsi="宋体" w:eastAsia="宋体" w:cs="宋体"/>
                <w:color w:val="auto"/>
                <w:sz w:val="22"/>
                <w:szCs w:val="22"/>
              </w:rPr>
            </w:pPr>
          </w:p>
        </w:tc>
        <w:tc>
          <w:tcPr>
            <w:tcW w:w="3837" w:type="dxa"/>
            <w:tcBorders>
              <w:top w:val="single" w:color="000000" w:sz="4" w:space="0"/>
              <w:left w:val="single" w:color="000000" w:sz="4" w:space="0"/>
              <w:bottom w:val="single" w:color="000000" w:sz="4" w:space="0"/>
              <w:right w:val="single" w:color="000000" w:sz="4" w:space="0"/>
            </w:tcBorders>
            <w:noWrap w:val="0"/>
            <w:vAlign w:val="center"/>
          </w:tcPr>
          <w:p w14:paraId="3903F825">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医疗机构人员审核</w:t>
            </w:r>
          </w:p>
        </w:tc>
      </w:tr>
      <w:tr w14:paraId="4B0B495A">
        <w:tblPrEx>
          <w:tblCellMar>
            <w:top w:w="0" w:type="dxa"/>
            <w:left w:w="108" w:type="dxa"/>
            <w:bottom w:w="0" w:type="dxa"/>
            <w:right w:w="108" w:type="dxa"/>
          </w:tblCellMar>
        </w:tblPrEx>
        <w:trPr>
          <w:trHeight w:val="512" w:hRule="atLeast"/>
        </w:trPr>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2FD1893F">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5</w:t>
            </w:r>
          </w:p>
        </w:tc>
        <w:tc>
          <w:tcPr>
            <w:tcW w:w="10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DF5871F">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药品配送企业服务承诺</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001A9478">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配送药品的质量保证书</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6E51ABE">
            <w:pPr>
              <w:rPr>
                <w:rFonts w:hint="eastAsia" w:ascii="宋体" w:hAnsi="宋体" w:eastAsia="宋体" w:cs="宋体"/>
                <w:color w:val="auto"/>
                <w:sz w:val="22"/>
                <w:szCs w:val="22"/>
              </w:rPr>
            </w:pPr>
          </w:p>
        </w:tc>
        <w:tc>
          <w:tcPr>
            <w:tcW w:w="3837" w:type="dxa"/>
            <w:vMerge w:val="restart"/>
            <w:tcBorders>
              <w:top w:val="single" w:color="000000" w:sz="4" w:space="0"/>
              <w:left w:val="single" w:color="000000" w:sz="4" w:space="0"/>
              <w:bottom w:val="single" w:color="000000" w:sz="4" w:space="0"/>
              <w:right w:val="single" w:color="000000" w:sz="4" w:space="0"/>
            </w:tcBorders>
            <w:noWrap w:val="0"/>
            <w:vAlign w:val="center"/>
          </w:tcPr>
          <w:p w14:paraId="161CB485">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提供详细服务承诺，加盖企业公章</w:t>
            </w:r>
          </w:p>
        </w:tc>
      </w:tr>
      <w:tr w14:paraId="23DCBFC3">
        <w:tblPrEx>
          <w:tblCellMar>
            <w:top w:w="0" w:type="dxa"/>
            <w:left w:w="108" w:type="dxa"/>
            <w:bottom w:w="0" w:type="dxa"/>
            <w:right w:w="108" w:type="dxa"/>
          </w:tblCellMar>
        </w:tblPrEx>
        <w:trPr>
          <w:trHeight w:val="1043" w:hRule="atLeast"/>
        </w:trPr>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ED66D">
            <w:pPr>
              <w:jc w:val="center"/>
              <w:rPr>
                <w:rFonts w:hint="eastAsia" w:ascii="宋体" w:hAnsi="宋体" w:eastAsia="宋体" w:cs="宋体"/>
                <w:color w:val="auto"/>
                <w:sz w:val="22"/>
                <w:szCs w:val="22"/>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42940">
            <w:pPr>
              <w:jc w:val="center"/>
              <w:rPr>
                <w:rFonts w:hint="eastAsia" w:ascii="宋体" w:hAnsi="宋体" w:eastAsia="宋体" w:cs="宋体"/>
                <w:color w:val="auto"/>
                <w:sz w:val="22"/>
                <w:szCs w:val="22"/>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176DF393">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配送药品的及时性、完成率、配送准确度的保证</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357C9EA">
            <w:pPr>
              <w:rPr>
                <w:rFonts w:hint="eastAsia" w:ascii="宋体" w:hAnsi="宋体" w:eastAsia="宋体" w:cs="宋体"/>
                <w:color w:val="auto"/>
                <w:sz w:val="22"/>
                <w:szCs w:val="22"/>
              </w:rPr>
            </w:pPr>
          </w:p>
        </w:tc>
        <w:tc>
          <w:tcPr>
            <w:tcW w:w="3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7F363">
            <w:pPr>
              <w:rPr>
                <w:rFonts w:hint="eastAsia" w:ascii="宋体" w:hAnsi="宋体" w:eastAsia="宋体" w:cs="宋体"/>
                <w:color w:val="auto"/>
                <w:sz w:val="22"/>
                <w:szCs w:val="22"/>
              </w:rPr>
            </w:pPr>
          </w:p>
        </w:tc>
      </w:tr>
      <w:tr w14:paraId="384C9D93">
        <w:tblPrEx>
          <w:tblCellMar>
            <w:top w:w="0" w:type="dxa"/>
            <w:left w:w="108" w:type="dxa"/>
            <w:bottom w:w="0" w:type="dxa"/>
            <w:right w:w="108" w:type="dxa"/>
          </w:tblCellMar>
        </w:tblPrEx>
        <w:trPr>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237D6">
            <w:pPr>
              <w:jc w:val="center"/>
              <w:rPr>
                <w:rFonts w:hint="eastAsia" w:ascii="宋体" w:hAnsi="宋体" w:eastAsia="宋体" w:cs="宋体"/>
                <w:color w:val="auto"/>
                <w:sz w:val="22"/>
                <w:szCs w:val="22"/>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C8ADA">
            <w:pPr>
              <w:jc w:val="center"/>
              <w:rPr>
                <w:rFonts w:hint="eastAsia" w:ascii="宋体" w:hAnsi="宋体" w:eastAsia="宋体" w:cs="宋体"/>
                <w:color w:val="auto"/>
                <w:sz w:val="22"/>
                <w:szCs w:val="22"/>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288DE791">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配送药品的售后服务保证</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4128732">
            <w:pPr>
              <w:rPr>
                <w:rFonts w:hint="eastAsia" w:ascii="宋体" w:hAnsi="宋体" w:eastAsia="宋体" w:cs="宋体"/>
                <w:color w:val="auto"/>
                <w:sz w:val="22"/>
                <w:szCs w:val="22"/>
              </w:rPr>
            </w:pPr>
          </w:p>
        </w:tc>
        <w:tc>
          <w:tcPr>
            <w:tcW w:w="3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8EF9C">
            <w:pPr>
              <w:rPr>
                <w:rFonts w:hint="eastAsia" w:ascii="宋体" w:hAnsi="宋体" w:eastAsia="宋体" w:cs="宋体"/>
                <w:color w:val="auto"/>
                <w:sz w:val="22"/>
                <w:szCs w:val="22"/>
              </w:rPr>
            </w:pPr>
          </w:p>
        </w:tc>
      </w:tr>
      <w:tr w14:paraId="67BDC90A">
        <w:tblPrEx>
          <w:tblCellMar>
            <w:top w:w="0" w:type="dxa"/>
            <w:left w:w="108" w:type="dxa"/>
            <w:bottom w:w="0" w:type="dxa"/>
            <w:right w:w="108" w:type="dxa"/>
          </w:tblCellMar>
        </w:tblPrEx>
        <w:trPr>
          <w:trHeight w:val="440" w:hRule="atLeast"/>
        </w:trPr>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6E71D">
            <w:pPr>
              <w:jc w:val="center"/>
              <w:rPr>
                <w:rFonts w:hint="eastAsia" w:ascii="宋体" w:hAnsi="宋体" w:eastAsia="宋体" w:cs="宋体"/>
                <w:color w:val="auto"/>
                <w:sz w:val="22"/>
                <w:szCs w:val="22"/>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B6032">
            <w:pPr>
              <w:jc w:val="center"/>
              <w:rPr>
                <w:rFonts w:hint="eastAsia" w:ascii="宋体" w:hAnsi="宋体" w:eastAsia="宋体" w:cs="宋体"/>
                <w:color w:val="auto"/>
                <w:sz w:val="22"/>
                <w:szCs w:val="22"/>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113FC0BD">
            <w:pPr>
              <w:widowControl/>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其他自主服务承诺方案</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4D5A015">
            <w:pPr>
              <w:rPr>
                <w:rFonts w:hint="eastAsia" w:ascii="宋体" w:hAnsi="宋体" w:eastAsia="宋体" w:cs="宋体"/>
                <w:color w:val="auto"/>
                <w:sz w:val="22"/>
                <w:szCs w:val="22"/>
              </w:rPr>
            </w:pPr>
          </w:p>
        </w:tc>
        <w:tc>
          <w:tcPr>
            <w:tcW w:w="3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A887B">
            <w:pPr>
              <w:rPr>
                <w:rFonts w:hint="eastAsia" w:ascii="宋体" w:hAnsi="宋体" w:eastAsia="宋体" w:cs="宋体"/>
                <w:color w:val="auto"/>
                <w:sz w:val="22"/>
                <w:szCs w:val="22"/>
              </w:rPr>
            </w:pPr>
          </w:p>
        </w:tc>
      </w:tr>
      <w:tr w14:paraId="3AE4361E">
        <w:tblPrEx>
          <w:tblCellMar>
            <w:top w:w="0" w:type="dxa"/>
            <w:left w:w="108" w:type="dxa"/>
            <w:bottom w:w="0" w:type="dxa"/>
            <w:right w:w="108" w:type="dxa"/>
          </w:tblCellMar>
        </w:tblPrEx>
        <w:trPr>
          <w:trHeight w:val="905" w:hRule="atLeast"/>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2EFBF7D">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医疗机构复核结果</w:t>
            </w:r>
          </w:p>
        </w:tc>
        <w:tc>
          <w:tcPr>
            <w:tcW w:w="8686" w:type="dxa"/>
            <w:gridSpan w:val="4"/>
            <w:tcBorders>
              <w:top w:val="single" w:color="000000" w:sz="4" w:space="0"/>
              <w:left w:val="single" w:color="000000" w:sz="4" w:space="0"/>
              <w:bottom w:val="single" w:color="000000" w:sz="4" w:space="0"/>
              <w:right w:val="single" w:color="000000" w:sz="4" w:space="0"/>
            </w:tcBorders>
            <w:noWrap w:val="0"/>
            <w:vAlign w:val="center"/>
          </w:tcPr>
          <w:p w14:paraId="551F3B6A">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该配送企业是否能参与遴选： 是□     否□</w:t>
            </w:r>
          </w:p>
        </w:tc>
      </w:tr>
    </w:tbl>
    <w:p w14:paraId="31D009DB">
      <w:pPr>
        <w:widowControl/>
        <w:snapToGrid w:val="0"/>
        <w:jc w:val="left"/>
        <w:rPr>
          <w:rFonts w:hint="eastAsia" w:ascii="黑体" w:hAnsi="黑体" w:eastAsia="黑体" w:cs="黑体"/>
          <w:bCs/>
          <w:color w:val="auto"/>
          <w:kern w:val="0"/>
          <w:sz w:val="30"/>
          <w:szCs w:val="30"/>
        </w:rPr>
      </w:pPr>
    </w:p>
    <w:p w14:paraId="2883D7B7">
      <w:pPr>
        <w:widowControl/>
        <w:snapToGrid w:val="0"/>
        <w:jc w:val="left"/>
        <w:rPr>
          <w:rFonts w:hint="eastAsia" w:ascii="黑体" w:hAnsi="黑体" w:eastAsia="黑体" w:cs="黑体"/>
          <w:bCs/>
          <w:color w:val="auto"/>
          <w:kern w:val="0"/>
          <w:sz w:val="30"/>
          <w:szCs w:val="30"/>
        </w:rPr>
      </w:pPr>
    </w:p>
    <w:p w14:paraId="43E03525">
      <w:pPr>
        <w:pStyle w:val="2"/>
        <w:rPr>
          <w:rFonts w:hint="default" w:ascii="仿宋" w:hAnsi="仿宋" w:eastAsia="仿宋" w:cs="仿宋"/>
          <w:b w:val="0"/>
          <w:bCs w:val="0"/>
          <w:sz w:val="32"/>
          <w:szCs w:val="32"/>
          <w:lang w:val="en-US" w:eastAsia="zh-CN"/>
        </w:rPr>
      </w:pPr>
    </w:p>
    <w:p w14:paraId="053F006E">
      <w:pPr>
        <w:pStyle w:val="2"/>
        <w:rPr>
          <w:rFonts w:hint="default" w:ascii="仿宋" w:hAnsi="仿宋" w:eastAsia="仿宋" w:cs="仿宋"/>
          <w:b w:val="0"/>
          <w:bCs w:val="0"/>
          <w:sz w:val="32"/>
          <w:szCs w:val="32"/>
          <w:lang w:val="en-US" w:eastAsia="zh-CN"/>
        </w:rPr>
      </w:pPr>
    </w:p>
    <w:p w14:paraId="2D6F9E19">
      <w:pPr>
        <w:pStyle w:val="2"/>
        <w:rPr>
          <w:rFonts w:hint="default" w:ascii="仿宋" w:hAnsi="仿宋" w:eastAsia="仿宋" w:cs="仿宋"/>
          <w:b w:val="0"/>
          <w:bCs w:val="0"/>
          <w:sz w:val="32"/>
          <w:szCs w:val="32"/>
          <w:lang w:val="en-US" w:eastAsia="zh-CN"/>
        </w:rPr>
      </w:pPr>
    </w:p>
    <w:p w14:paraId="3E4DF5F0">
      <w:pPr>
        <w:pStyle w:val="2"/>
        <w:rPr>
          <w:rFonts w:hint="default" w:ascii="仿宋" w:hAnsi="仿宋" w:eastAsia="仿宋" w:cs="仿宋"/>
          <w:b w:val="0"/>
          <w:bCs w:val="0"/>
          <w:sz w:val="32"/>
          <w:szCs w:val="32"/>
          <w:lang w:val="en-US" w:eastAsia="zh-CN"/>
        </w:rPr>
      </w:pPr>
    </w:p>
    <w:p w14:paraId="4293F185">
      <w:pPr>
        <w:pStyle w:val="2"/>
        <w:rPr>
          <w:rFonts w:hint="default" w:ascii="仿宋" w:hAnsi="仿宋" w:eastAsia="仿宋" w:cs="仿宋"/>
          <w:b w:val="0"/>
          <w:bCs w:val="0"/>
          <w:sz w:val="32"/>
          <w:szCs w:val="32"/>
          <w:lang w:val="en-US" w:eastAsia="zh-CN"/>
        </w:rPr>
      </w:pPr>
    </w:p>
    <w:p w14:paraId="79A3E1EC">
      <w:pPr>
        <w:pStyle w:val="2"/>
        <w:rPr>
          <w:rFonts w:hint="default" w:ascii="仿宋" w:hAnsi="仿宋" w:eastAsia="仿宋" w:cs="仿宋"/>
          <w:b w:val="0"/>
          <w:bCs w:val="0"/>
          <w:sz w:val="32"/>
          <w:szCs w:val="32"/>
          <w:lang w:val="en-US" w:eastAsia="zh-CN"/>
        </w:rPr>
      </w:pPr>
    </w:p>
    <w:p w14:paraId="78D1090A">
      <w:pPr>
        <w:pStyle w:val="2"/>
        <w:rPr>
          <w:rFonts w:hint="default" w:ascii="仿宋" w:hAnsi="仿宋" w:eastAsia="仿宋" w:cs="仿宋"/>
          <w:b w:val="0"/>
          <w:bCs w:val="0"/>
          <w:sz w:val="32"/>
          <w:szCs w:val="32"/>
          <w:lang w:val="en-US" w:eastAsia="zh-CN"/>
        </w:rPr>
      </w:pPr>
    </w:p>
    <w:p w14:paraId="56452DA0">
      <w:pPr>
        <w:pStyle w:val="2"/>
        <w:rPr>
          <w:rFonts w:hint="default" w:ascii="仿宋" w:hAnsi="仿宋" w:eastAsia="仿宋" w:cs="仿宋"/>
          <w:b w:val="0"/>
          <w:bCs w:val="0"/>
          <w:sz w:val="32"/>
          <w:szCs w:val="32"/>
          <w:lang w:val="en-US" w:eastAsia="zh-CN"/>
        </w:rPr>
      </w:pPr>
    </w:p>
    <w:p w14:paraId="29D6185E">
      <w:pPr>
        <w:pStyle w:val="2"/>
        <w:rPr>
          <w:rFonts w:hint="default" w:ascii="仿宋" w:hAnsi="仿宋" w:eastAsia="仿宋" w:cs="仿宋"/>
          <w:b w:val="0"/>
          <w:bCs w:val="0"/>
          <w:sz w:val="32"/>
          <w:szCs w:val="32"/>
          <w:lang w:val="en-US" w:eastAsia="zh-CN"/>
        </w:rPr>
      </w:pPr>
    </w:p>
    <w:p w14:paraId="625E0A2B">
      <w:pPr>
        <w:pStyle w:val="2"/>
        <w:rPr>
          <w:rFonts w:hint="default" w:ascii="仿宋" w:hAnsi="仿宋" w:eastAsia="仿宋" w:cs="仿宋"/>
          <w:b w:val="0"/>
          <w:bCs w:val="0"/>
          <w:sz w:val="32"/>
          <w:szCs w:val="32"/>
          <w:lang w:val="en-US" w:eastAsia="zh-CN"/>
        </w:rPr>
      </w:pPr>
    </w:p>
    <w:p w14:paraId="6106AEF3">
      <w:pPr>
        <w:pStyle w:val="2"/>
        <w:rPr>
          <w:rFonts w:hint="default" w:ascii="仿宋" w:hAnsi="仿宋" w:eastAsia="仿宋" w:cs="仿宋"/>
          <w:b w:val="0"/>
          <w:bCs w:val="0"/>
          <w:sz w:val="32"/>
          <w:szCs w:val="32"/>
          <w:lang w:val="en-US" w:eastAsia="zh-CN"/>
        </w:rPr>
      </w:pPr>
    </w:p>
    <w:p w14:paraId="43E444EE">
      <w:pPr>
        <w:pStyle w:val="2"/>
        <w:rPr>
          <w:rFonts w:hint="default" w:ascii="仿宋" w:hAnsi="仿宋" w:eastAsia="仿宋" w:cs="仿宋"/>
          <w:b w:val="0"/>
          <w:bCs w:val="0"/>
          <w:sz w:val="32"/>
          <w:szCs w:val="32"/>
          <w:lang w:val="en-US" w:eastAsia="zh-CN"/>
        </w:rPr>
      </w:pPr>
    </w:p>
    <w:p w14:paraId="5D9FA7BC">
      <w:pPr>
        <w:pStyle w:val="2"/>
        <w:rPr>
          <w:rFonts w:hint="default" w:ascii="仿宋" w:hAnsi="仿宋" w:eastAsia="仿宋" w:cs="仿宋"/>
          <w:b w:val="0"/>
          <w:bCs w:val="0"/>
          <w:sz w:val="32"/>
          <w:szCs w:val="32"/>
          <w:lang w:val="en-US" w:eastAsia="zh-CN"/>
        </w:rPr>
      </w:pPr>
    </w:p>
    <w:p w14:paraId="550B3569">
      <w:pPr>
        <w:pStyle w:val="2"/>
        <w:rPr>
          <w:rFonts w:hint="default" w:ascii="仿宋" w:hAnsi="仿宋" w:eastAsia="仿宋" w:cs="仿宋"/>
          <w:b w:val="0"/>
          <w:bCs w:val="0"/>
          <w:sz w:val="32"/>
          <w:szCs w:val="32"/>
          <w:lang w:val="en-US" w:eastAsia="zh-CN"/>
        </w:rPr>
      </w:pPr>
    </w:p>
    <w:p w14:paraId="253128FD">
      <w:pPr>
        <w:pStyle w:val="2"/>
        <w:rPr>
          <w:rFonts w:hint="default" w:ascii="仿宋" w:hAnsi="仿宋" w:eastAsia="仿宋" w:cs="仿宋"/>
          <w:b w:val="0"/>
          <w:bCs w:val="0"/>
          <w:sz w:val="32"/>
          <w:szCs w:val="32"/>
          <w:lang w:val="en-US" w:eastAsia="zh-CN"/>
        </w:rPr>
      </w:pPr>
    </w:p>
    <w:p w14:paraId="2FA1EB84">
      <w:pPr>
        <w:pStyle w:val="2"/>
        <w:rPr>
          <w:rFonts w:hint="default" w:ascii="仿宋" w:hAnsi="仿宋" w:eastAsia="仿宋" w:cs="仿宋"/>
          <w:b w:val="0"/>
          <w:bCs w:val="0"/>
          <w:sz w:val="32"/>
          <w:szCs w:val="32"/>
          <w:lang w:val="en-US" w:eastAsia="zh-CN"/>
        </w:rPr>
      </w:pPr>
    </w:p>
    <w:p w14:paraId="2A90A787">
      <w:pPr>
        <w:pStyle w:val="2"/>
        <w:rPr>
          <w:rFonts w:hint="default" w:ascii="仿宋" w:hAnsi="仿宋" w:eastAsia="仿宋" w:cs="仿宋"/>
          <w:b w:val="0"/>
          <w:bCs w:val="0"/>
          <w:sz w:val="32"/>
          <w:szCs w:val="32"/>
          <w:lang w:val="en-US" w:eastAsia="zh-CN"/>
        </w:rPr>
      </w:pPr>
    </w:p>
    <w:p w14:paraId="5A88FFB5">
      <w:pPr>
        <w:pStyle w:val="2"/>
        <w:rPr>
          <w:rFonts w:hint="default" w:ascii="仿宋" w:hAnsi="仿宋" w:eastAsia="仿宋" w:cs="仿宋"/>
          <w:b w:val="0"/>
          <w:bCs w:val="0"/>
          <w:sz w:val="32"/>
          <w:szCs w:val="32"/>
          <w:lang w:val="en-US" w:eastAsia="zh-CN"/>
        </w:rPr>
      </w:pPr>
    </w:p>
    <w:p w14:paraId="6D3EA532">
      <w:pPr>
        <w:pStyle w:val="2"/>
        <w:rPr>
          <w:rFonts w:hint="default" w:ascii="仿宋" w:hAnsi="仿宋" w:eastAsia="仿宋" w:cs="仿宋"/>
          <w:b w:val="0"/>
          <w:bCs w:val="0"/>
          <w:sz w:val="32"/>
          <w:szCs w:val="32"/>
          <w:lang w:val="en-US" w:eastAsia="zh-CN"/>
        </w:rPr>
      </w:pPr>
    </w:p>
    <w:p w14:paraId="55F97AAE">
      <w:pPr>
        <w:pStyle w:val="2"/>
        <w:rPr>
          <w:rFonts w:hint="default" w:ascii="仿宋" w:hAnsi="仿宋" w:eastAsia="仿宋" w:cs="仿宋"/>
          <w:b w:val="0"/>
          <w:bCs w:val="0"/>
          <w:sz w:val="32"/>
          <w:szCs w:val="32"/>
          <w:lang w:val="en-US" w:eastAsia="zh-CN"/>
        </w:rPr>
      </w:pPr>
    </w:p>
    <w:p w14:paraId="5DD96117">
      <w:pPr>
        <w:pStyle w:val="2"/>
        <w:rPr>
          <w:rFonts w:hint="default" w:ascii="仿宋" w:hAnsi="仿宋" w:eastAsia="仿宋" w:cs="仿宋"/>
          <w:b w:val="0"/>
          <w:bCs w:val="0"/>
          <w:sz w:val="32"/>
          <w:szCs w:val="32"/>
          <w:lang w:val="en-US" w:eastAsia="zh-CN"/>
        </w:rPr>
      </w:pPr>
    </w:p>
    <w:p w14:paraId="51F51AF8">
      <w:pPr>
        <w:pStyle w:val="2"/>
        <w:rPr>
          <w:rFonts w:hint="default" w:ascii="仿宋" w:hAnsi="仿宋" w:eastAsia="仿宋" w:cs="仿宋"/>
          <w:b w:val="0"/>
          <w:bCs w:val="0"/>
          <w:sz w:val="32"/>
          <w:szCs w:val="32"/>
          <w:lang w:val="en-US" w:eastAsia="zh-CN"/>
        </w:rPr>
      </w:pPr>
    </w:p>
    <w:p w14:paraId="7A14A3DE">
      <w:pPr>
        <w:pStyle w:val="2"/>
        <w:ind w:left="0" w:leftChars="0" w:firstLine="0" w:firstLineChars="0"/>
        <w:rPr>
          <w:rFonts w:hint="default" w:ascii="仿宋" w:hAnsi="仿宋" w:eastAsia="仿宋" w:cs="仿宋"/>
          <w:b w:val="0"/>
          <w:bCs w:val="0"/>
          <w:sz w:val="32"/>
          <w:szCs w:val="32"/>
          <w:lang w:val="en-US" w:eastAsia="zh-CN"/>
        </w:rPr>
      </w:pPr>
    </w:p>
    <w:p w14:paraId="59F31539">
      <w:pPr>
        <w:pStyle w:val="2"/>
        <w:rPr>
          <w:rFonts w:hint="default" w:ascii="仿宋" w:hAnsi="仿宋" w:eastAsia="仿宋" w:cs="仿宋"/>
          <w:b w:val="0"/>
          <w:bCs w:val="0"/>
          <w:sz w:val="32"/>
          <w:szCs w:val="32"/>
          <w:lang w:val="en-US" w:eastAsia="zh-CN"/>
        </w:rPr>
      </w:pPr>
    </w:p>
    <w:p w14:paraId="327A720B">
      <w:pPr>
        <w:numPr>
          <w:ilvl w:val="0"/>
          <w:numId w:val="0"/>
        </w:numPr>
        <w:ind w:leftChars="0"/>
        <w:rPr>
          <w:rFonts w:hint="eastAsia" w:ascii="仿宋" w:hAnsi="仿宋" w:eastAsia="仿宋" w:cs="仿宋"/>
          <w:b/>
          <w:bCs/>
          <w:sz w:val="32"/>
          <w:szCs w:val="32"/>
          <w:lang w:val="en-US" w:eastAsia="zh-CN"/>
        </w:rPr>
      </w:pPr>
    </w:p>
    <w:p w14:paraId="3840F6B0">
      <w:pPr>
        <w:numPr>
          <w:ilvl w:val="0"/>
          <w:numId w:val="0"/>
        </w:numPr>
        <w:ind w:leftChars="0"/>
        <w:rPr>
          <w:rFonts w:hint="eastAsia" w:ascii="仿宋" w:hAnsi="仿宋" w:eastAsia="仿宋" w:cs="仿宋"/>
          <w:b/>
          <w:bCs/>
          <w:sz w:val="32"/>
          <w:szCs w:val="32"/>
          <w:lang w:val="en-US" w:eastAsia="zh-CN"/>
        </w:rPr>
      </w:pPr>
    </w:p>
    <w:p w14:paraId="441ED883">
      <w:pPr>
        <w:numPr>
          <w:ilvl w:val="0"/>
          <w:numId w:val="0"/>
        </w:numPr>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附件3：药品配送企业遴选评分表</w:t>
      </w:r>
    </w:p>
    <w:p w14:paraId="740D5907">
      <w:pPr>
        <w:numPr>
          <w:ilvl w:val="0"/>
          <w:numId w:val="0"/>
        </w:numPr>
        <w:ind w:leftChars="0"/>
        <w:rPr>
          <w:rFonts w:hint="eastAsia" w:ascii="仿宋" w:hAnsi="仿宋" w:eastAsia="仿宋" w:cs="仿宋"/>
          <w:b/>
          <w:bCs/>
          <w:sz w:val="32"/>
          <w:szCs w:val="32"/>
          <w:lang w:val="en-US" w:eastAsia="zh-CN"/>
        </w:rPr>
      </w:pPr>
    </w:p>
    <w:p w14:paraId="62684A88">
      <w:pPr>
        <w:spacing w:line="560" w:lineRule="exact"/>
        <w:jc w:val="center"/>
        <w:rPr>
          <w:rFonts w:ascii="Times New Roman" w:hAnsi="Times New Roman" w:eastAsia="宋体" w:cs="Times New Roman"/>
          <w:sz w:val="28"/>
          <w:szCs w:val="28"/>
        </w:rPr>
      </w:pPr>
      <w:r>
        <w:rPr>
          <w:rFonts w:hint="eastAsia" w:ascii="方正小标宋简体" w:hAnsi="黑体" w:eastAsia="方正小标宋简体" w:cs="Helvetica"/>
          <w:bCs/>
          <w:color w:val="000000"/>
          <w:kern w:val="0"/>
          <w:sz w:val="44"/>
          <w:szCs w:val="44"/>
        </w:rPr>
        <w:t>药品配送企业遴选评分表</w:t>
      </w:r>
    </w:p>
    <w:tbl>
      <w:tblPr>
        <w:tblStyle w:val="4"/>
        <w:tblpPr w:leftFromText="180" w:rightFromText="180" w:vertAnchor="text" w:horzAnchor="page" w:tblpX="540" w:tblpY="572"/>
        <w:tblOverlap w:val="never"/>
        <w:tblW w:w="11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672"/>
        <w:gridCol w:w="3433"/>
        <w:gridCol w:w="733"/>
        <w:gridCol w:w="717"/>
        <w:gridCol w:w="783"/>
        <w:gridCol w:w="2734"/>
      </w:tblGrid>
      <w:tr w14:paraId="0ADE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075" w:type="dxa"/>
            <w:shd w:val="clear" w:color="auto" w:fill="auto"/>
            <w:vAlign w:val="center"/>
          </w:tcPr>
          <w:p w14:paraId="54A7232A">
            <w:pPr>
              <w:widowControl/>
              <w:spacing w:line="360" w:lineRule="auto"/>
              <w:rPr>
                <w:rFonts w:ascii="Times New Roman" w:hAnsi="Times New Roman" w:eastAsia="宋体" w:cs="Times New Roman"/>
                <w:b/>
                <w:bCs/>
                <w:color w:val="auto"/>
                <w:kern w:val="0"/>
                <w:sz w:val="24"/>
              </w:rPr>
            </w:pPr>
            <w:r>
              <w:rPr>
                <w:rFonts w:ascii="Times New Roman" w:hAnsi="Times New Roman" w:eastAsia="宋体" w:cs="Times New Roman"/>
                <w:b/>
                <w:bCs/>
                <w:color w:val="auto"/>
                <w:kern w:val="0"/>
                <w:sz w:val="24"/>
              </w:rPr>
              <w:t>一级指标</w:t>
            </w:r>
          </w:p>
        </w:tc>
        <w:tc>
          <w:tcPr>
            <w:tcW w:w="1672" w:type="dxa"/>
            <w:shd w:val="clear" w:color="auto" w:fill="auto"/>
            <w:vAlign w:val="center"/>
          </w:tcPr>
          <w:p w14:paraId="4F8AA970">
            <w:pPr>
              <w:widowControl/>
              <w:spacing w:line="360" w:lineRule="auto"/>
              <w:jc w:val="center"/>
              <w:rPr>
                <w:rFonts w:ascii="Times New Roman" w:hAnsi="Times New Roman" w:eastAsia="宋体" w:cs="Times New Roman"/>
                <w:b/>
                <w:bCs/>
                <w:color w:val="auto"/>
                <w:kern w:val="0"/>
                <w:sz w:val="24"/>
              </w:rPr>
            </w:pPr>
            <w:r>
              <w:rPr>
                <w:rFonts w:ascii="Times New Roman" w:hAnsi="Times New Roman" w:eastAsia="宋体" w:cs="Times New Roman"/>
                <w:b/>
                <w:bCs/>
                <w:color w:val="auto"/>
                <w:kern w:val="0"/>
                <w:sz w:val="24"/>
              </w:rPr>
              <w:t>二级指标</w:t>
            </w:r>
          </w:p>
        </w:tc>
        <w:tc>
          <w:tcPr>
            <w:tcW w:w="3433" w:type="dxa"/>
            <w:shd w:val="clear" w:color="auto" w:fill="auto"/>
            <w:vAlign w:val="center"/>
          </w:tcPr>
          <w:p w14:paraId="2AB55073">
            <w:pPr>
              <w:widowControl/>
              <w:spacing w:line="360" w:lineRule="auto"/>
              <w:jc w:val="center"/>
              <w:rPr>
                <w:rFonts w:ascii="Times New Roman" w:hAnsi="Times New Roman" w:eastAsia="宋体" w:cs="Times New Roman"/>
                <w:b/>
                <w:bCs/>
                <w:color w:val="auto"/>
                <w:kern w:val="0"/>
                <w:sz w:val="24"/>
              </w:rPr>
            </w:pPr>
            <w:r>
              <w:rPr>
                <w:rFonts w:ascii="Times New Roman" w:hAnsi="Times New Roman" w:eastAsia="宋体" w:cs="Times New Roman"/>
                <w:b/>
                <w:bCs/>
                <w:color w:val="auto"/>
                <w:kern w:val="0"/>
                <w:sz w:val="24"/>
              </w:rPr>
              <w:t>评价细则</w:t>
            </w:r>
          </w:p>
        </w:tc>
        <w:tc>
          <w:tcPr>
            <w:tcW w:w="733" w:type="dxa"/>
            <w:shd w:val="clear" w:color="auto" w:fill="auto"/>
            <w:vAlign w:val="center"/>
          </w:tcPr>
          <w:p w14:paraId="1027E1AF">
            <w:pPr>
              <w:widowControl/>
              <w:spacing w:line="360" w:lineRule="auto"/>
              <w:jc w:val="center"/>
              <w:rPr>
                <w:rFonts w:ascii="Times New Roman" w:hAnsi="Times New Roman" w:eastAsia="宋体" w:cs="Times New Roman"/>
                <w:b/>
                <w:bCs/>
                <w:color w:val="auto"/>
                <w:kern w:val="0"/>
                <w:sz w:val="24"/>
              </w:rPr>
            </w:pPr>
            <w:r>
              <w:rPr>
                <w:rFonts w:ascii="Times New Roman" w:hAnsi="Times New Roman" w:eastAsia="宋体" w:cs="Times New Roman"/>
                <w:b/>
                <w:bCs/>
                <w:color w:val="auto"/>
                <w:kern w:val="0"/>
                <w:sz w:val="24"/>
              </w:rPr>
              <w:t>分值</w:t>
            </w:r>
          </w:p>
        </w:tc>
        <w:tc>
          <w:tcPr>
            <w:tcW w:w="717" w:type="dxa"/>
            <w:shd w:val="clear" w:color="auto" w:fill="auto"/>
            <w:vAlign w:val="center"/>
          </w:tcPr>
          <w:p w14:paraId="6A733D55">
            <w:pPr>
              <w:widowControl/>
              <w:spacing w:line="360" w:lineRule="auto"/>
              <w:jc w:val="center"/>
              <w:rPr>
                <w:rFonts w:hint="eastAsia" w:ascii="Times New Roman" w:hAnsi="Times New Roman" w:eastAsia="宋体" w:cs="Times New Roman"/>
                <w:b/>
                <w:bCs/>
                <w:color w:val="auto"/>
                <w:kern w:val="0"/>
                <w:sz w:val="24"/>
                <w:lang w:eastAsia="zh-CN"/>
              </w:rPr>
            </w:pPr>
            <w:r>
              <w:rPr>
                <w:rFonts w:hint="eastAsia" w:ascii="Times New Roman" w:hAnsi="Times New Roman" w:eastAsia="宋体" w:cs="Times New Roman"/>
                <w:b/>
                <w:bCs/>
                <w:color w:val="auto"/>
                <w:kern w:val="0"/>
                <w:sz w:val="24"/>
                <w:lang w:eastAsia="zh-CN"/>
              </w:rPr>
              <w:t>企业自评</w:t>
            </w:r>
          </w:p>
        </w:tc>
        <w:tc>
          <w:tcPr>
            <w:tcW w:w="783" w:type="dxa"/>
            <w:shd w:val="clear" w:color="auto" w:fill="auto"/>
            <w:vAlign w:val="center"/>
          </w:tcPr>
          <w:p w14:paraId="4B1EF638">
            <w:pPr>
              <w:widowControl/>
              <w:spacing w:line="360" w:lineRule="auto"/>
              <w:jc w:val="center"/>
              <w:rPr>
                <w:rFonts w:ascii="Times New Roman" w:hAnsi="Times New Roman" w:eastAsia="宋体" w:cs="Times New Roman"/>
                <w:b/>
                <w:bCs/>
                <w:color w:val="auto"/>
                <w:kern w:val="0"/>
                <w:sz w:val="24"/>
              </w:rPr>
            </w:pPr>
            <w:r>
              <w:rPr>
                <w:rFonts w:hint="eastAsia" w:ascii="Times New Roman" w:hAnsi="Times New Roman" w:eastAsia="宋体" w:cs="Times New Roman"/>
                <w:b/>
                <w:bCs/>
                <w:color w:val="auto"/>
                <w:kern w:val="0"/>
                <w:sz w:val="24"/>
                <w:lang w:eastAsia="zh-CN"/>
              </w:rPr>
              <w:t>医院</w:t>
            </w:r>
            <w:r>
              <w:rPr>
                <w:rFonts w:ascii="Times New Roman" w:hAnsi="Times New Roman" w:eastAsia="宋体" w:cs="Times New Roman"/>
                <w:b/>
                <w:bCs/>
                <w:color w:val="auto"/>
                <w:kern w:val="0"/>
                <w:sz w:val="24"/>
              </w:rPr>
              <w:t>评分</w:t>
            </w:r>
          </w:p>
        </w:tc>
        <w:tc>
          <w:tcPr>
            <w:tcW w:w="2734" w:type="dxa"/>
            <w:shd w:val="clear" w:color="auto" w:fill="auto"/>
            <w:vAlign w:val="center"/>
          </w:tcPr>
          <w:p w14:paraId="3C19720F">
            <w:pPr>
              <w:widowControl/>
              <w:jc w:val="center"/>
              <w:rPr>
                <w:rFonts w:ascii="Times New Roman" w:hAnsi="Times New Roman" w:eastAsia="宋体" w:cs="Times New Roman"/>
                <w:b/>
                <w:bCs/>
                <w:color w:val="auto"/>
                <w:kern w:val="0"/>
                <w:sz w:val="24"/>
              </w:rPr>
            </w:pPr>
            <w:r>
              <w:rPr>
                <w:rFonts w:hint="eastAsia" w:ascii="Times New Roman" w:hAnsi="Times New Roman" w:eastAsia="宋体" w:cs="Times New Roman"/>
                <w:b/>
                <w:bCs/>
                <w:color w:val="auto"/>
                <w:kern w:val="0"/>
                <w:sz w:val="24"/>
              </w:rPr>
              <w:t>证明材料</w:t>
            </w:r>
          </w:p>
          <w:p w14:paraId="710A5623">
            <w:pPr>
              <w:widowControl/>
              <w:jc w:val="center"/>
              <w:rPr>
                <w:rFonts w:ascii="Times New Roman" w:hAnsi="Times New Roman" w:eastAsia="宋体" w:cs="Times New Roman"/>
                <w:b/>
                <w:bCs/>
                <w:color w:val="auto"/>
                <w:kern w:val="0"/>
                <w:sz w:val="24"/>
              </w:rPr>
            </w:pPr>
            <w:r>
              <w:rPr>
                <w:rFonts w:hint="eastAsia" w:ascii="Times New Roman" w:hAnsi="Times New Roman" w:eastAsia="宋体" w:cs="Times New Roman"/>
                <w:b/>
                <w:bCs/>
                <w:color w:val="auto"/>
                <w:kern w:val="0"/>
                <w:sz w:val="24"/>
              </w:rPr>
              <w:t>（复印件按评分项顺序装订，原件备查）</w:t>
            </w:r>
          </w:p>
        </w:tc>
      </w:tr>
      <w:tr w14:paraId="7A2D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75" w:type="dxa"/>
            <w:vMerge w:val="restart"/>
            <w:shd w:val="clear" w:color="auto" w:fill="auto"/>
            <w:vAlign w:val="center"/>
          </w:tcPr>
          <w:p w14:paraId="4E325A3E">
            <w:pPr>
              <w:widowControl/>
              <w:rPr>
                <w:rFonts w:ascii="Times New Roman" w:hAnsi="Times New Roman" w:eastAsia="宋体" w:cs="Times New Roman"/>
                <w:b/>
                <w:bCs/>
                <w:color w:val="auto"/>
                <w:kern w:val="0"/>
                <w:sz w:val="24"/>
              </w:rPr>
            </w:pPr>
            <w:r>
              <w:rPr>
                <w:rFonts w:hint="eastAsia" w:ascii="Times New Roman" w:hAnsi="Times New Roman" w:eastAsia="宋体" w:cs="Times New Roman"/>
                <w:b/>
                <w:bCs/>
                <w:color w:val="auto"/>
                <w:kern w:val="0"/>
                <w:sz w:val="24"/>
              </w:rPr>
              <w:t>1.</w:t>
            </w:r>
            <w:r>
              <w:rPr>
                <w:rFonts w:ascii="Times New Roman" w:hAnsi="Times New Roman" w:eastAsia="宋体" w:cs="Times New Roman"/>
                <w:b/>
                <w:bCs/>
                <w:color w:val="auto"/>
                <w:kern w:val="0"/>
                <w:sz w:val="24"/>
              </w:rPr>
              <w:t>供货能力（</w:t>
            </w:r>
            <w:r>
              <w:rPr>
                <w:rFonts w:hint="eastAsia" w:ascii="Times New Roman" w:hAnsi="Times New Roman" w:eastAsia="宋体" w:cs="Times New Roman"/>
                <w:b/>
                <w:bCs/>
                <w:color w:val="auto"/>
                <w:kern w:val="0"/>
                <w:sz w:val="24"/>
              </w:rPr>
              <w:t>25</w:t>
            </w:r>
            <w:r>
              <w:rPr>
                <w:rFonts w:ascii="Times New Roman" w:hAnsi="Times New Roman" w:eastAsia="宋体" w:cs="Times New Roman"/>
                <w:b/>
                <w:bCs/>
                <w:color w:val="auto"/>
                <w:kern w:val="0"/>
                <w:sz w:val="24"/>
              </w:rPr>
              <w:t>分）</w:t>
            </w:r>
          </w:p>
        </w:tc>
        <w:tc>
          <w:tcPr>
            <w:tcW w:w="1672" w:type="dxa"/>
            <w:vMerge w:val="restart"/>
            <w:shd w:val="clear" w:color="auto" w:fill="auto"/>
            <w:vAlign w:val="center"/>
          </w:tcPr>
          <w:p w14:paraId="3A200045">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1.1可配送药品</w:t>
            </w:r>
            <w:r>
              <w:rPr>
                <w:rFonts w:ascii="Times New Roman" w:hAnsi="Times New Roman" w:eastAsia="宋体" w:cs="Times New Roman"/>
                <w:color w:val="auto"/>
                <w:kern w:val="0"/>
                <w:sz w:val="24"/>
              </w:rPr>
              <w:t>数</w:t>
            </w:r>
            <w:r>
              <w:rPr>
                <w:rFonts w:hint="eastAsia" w:ascii="Times New Roman" w:hAnsi="Times New Roman" w:eastAsia="宋体" w:cs="Times New Roman"/>
                <w:color w:val="auto"/>
                <w:kern w:val="0"/>
                <w:sz w:val="24"/>
              </w:rPr>
              <w:t>量</w:t>
            </w:r>
            <w:r>
              <w:rPr>
                <w:rFonts w:ascii="Times New Roman" w:hAnsi="Times New Roman" w:eastAsia="宋体" w:cs="Times New Roman"/>
                <w:color w:val="auto"/>
                <w:kern w:val="0"/>
                <w:sz w:val="24"/>
              </w:rPr>
              <w:t>（</w:t>
            </w:r>
            <w:r>
              <w:rPr>
                <w:rFonts w:hint="eastAsia" w:ascii="Times New Roman" w:hAnsi="Times New Roman" w:eastAsia="宋体" w:cs="Times New Roman"/>
                <w:color w:val="auto"/>
                <w:kern w:val="0"/>
                <w:sz w:val="24"/>
              </w:rPr>
              <w:t>10</w:t>
            </w:r>
            <w:r>
              <w:rPr>
                <w:rFonts w:ascii="Times New Roman" w:hAnsi="Times New Roman" w:eastAsia="宋体" w:cs="Times New Roman"/>
                <w:color w:val="auto"/>
                <w:kern w:val="0"/>
                <w:sz w:val="24"/>
              </w:rPr>
              <w:t>分）</w:t>
            </w:r>
          </w:p>
        </w:tc>
        <w:tc>
          <w:tcPr>
            <w:tcW w:w="3433" w:type="dxa"/>
            <w:shd w:val="clear" w:color="auto" w:fill="auto"/>
            <w:vAlign w:val="center"/>
          </w:tcPr>
          <w:p w14:paraId="089FC10B">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&lt;医院在用药品品规数量</w:t>
            </w:r>
            <w:r>
              <w:rPr>
                <w:rFonts w:ascii="Times New Roman" w:hAnsi="Times New Roman" w:eastAsia="宋体" w:cs="Times New Roman"/>
                <w:color w:val="auto"/>
                <w:kern w:val="0"/>
                <w:sz w:val="24"/>
              </w:rPr>
              <w:t xml:space="preserve">×40% </w:t>
            </w:r>
          </w:p>
        </w:tc>
        <w:tc>
          <w:tcPr>
            <w:tcW w:w="733" w:type="dxa"/>
            <w:shd w:val="clear" w:color="auto" w:fill="auto"/>
            <w:vAlign w:val="center"/>
          </w:tcPr>
          <w:p w14:paraId="294E2136">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2</w:t>
            </w:r>
          </w:p>
        </w:tc>
        <w:tc>
          <w:tcPr>
            <w:tcW w:w="717" w:type="dxa"/>
            <w:shd w:val="clear" w:color="auto" w:fill="auto"/>
            <w:vAlign w:val="center"/>
          </w:tcPr>
          <w:p w14:paraId="59571DF6">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3E1BC195">
            <w:pPr>
              <w:widowControl/>
              <w:jc w:val="center"/>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　</w:t>
            </w:r>
          </w:p>
        </w:tc>
        <w:tc>
          <w:tcPr>
            <w:tcW w:w="2734" w:type="dxa"/>
            <w:vMerge w:val="restart"/>
            <w:shd w:val="clear" w:color="auto" w:fill="auto"/>
            <w:vAlign w:val="center"/>
          </w:tcPr>
          <w:p w14:paraId="5ED7D1C7">
            <w:pPr>
              <w:widowControl/>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（1）以本院基本用药的品种数量为依据，按不同占比进行阶梯打分</w:t>
            </w:r>
            <w:r>
              <w:rPr>
                <w:rFonts w:hint="eastAsia" w:ascii="Times New Roman" w:hAnsi="Times New Roman" w:eastAsia="宋体" w:cs="Times New Roman"/>
                <w:color w:val="auto"/>
                <w:kern w:val="0"/>
                <w:sz w:val="24"/>
              </w:rPr>
              <w:t>；</w:t>
            </w:r>
          </w:p>
          <w:p w14:paraId="68739D70">
            <w:pPr>
              <w:widowControl/>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（2）提供企业在广西药品与医用耗材招采管理系统“药品交易”模块可配送药品品种</w:t>
            </w:r>
            <w:r>
              <w:rPr>
                <w:rFonts w:hint="eastAsia" w:ascii="Times New Roman" w:hAnsi="Times New Roman" w:eastAsia="宋体" w:cs="Times New Roman"/>
                <w:color w:val="auto"/>
                <w:kern w:val="0"/>
                <w:sz w:val="24"/>
              </w:rPr>
              <w:t>（并标注药品国家医保贯标码）</w:t>
            </w:r>
            <w:r>
              <w:rPr>
                <w:rFonts w:ascii="Times New Roman" w:hAnsi="Times New Roman" w:eastAsia="宋体" w:cs="Times New Roman"/>
                <w:color w:val="auto"/>
                <w:kern w:val="0"/>
                <w:sz w:val="24"/>
              </w:rPr>
              <w:t>、规格的数量作为证明材料</w:t>
            </w:r>
            <w:r>
              <w:rPr>
                <w:rFonts w:hint="eastAsia" w:ascii="Times New Roman" w:hAnsi="Times New Roman" w:eastAsia="宋体" w:cs="Times New Roman"/>
                <w:color w:val="auto"/>
                <w:kern w:val="0"/>
                <w:sz w:val="24"/>
              </w:rPr>
              <w:t>。</w:t>
            </w:r>
          </w:p>
        </w:tc>
      </w:tr>
      <w:tr w14:paraId="0832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75" w:type="dxa"/>
            <w:vMerge w:val="continue"/>
            <w:shd w:val="clear" w:color="auto" w:fill="auto"/>
            <w:vAlign w:val="center"/>
          </w:tcPr>
          <w:p w14:paraId="736888CE">
            <w:pPr>
              <w:widowControl/>
              <w:jc w:val="left"/>
              <w:rPr>
                <w:color w:val="auto"/>
              </w:rPr>
            </w:pPr>
          </w:p>
        </w:tc>
        <w:tc>
          <w:tcPr>
            <w:tcW w:w="1672" w:type="dxa"/>
            <w:vMerge w:val="continue"/>
            <w:shd w:val="clear" w:color="auto" w:fill="auto"/>
            <w:vAlign w:val="center"/>
          </w:tcPr>
          <w:p w14:paraId="4908AC3B">
            <w:pPr>
              <w:widowControl/>
              <w:jc w:val="left"/>
              <w:rPr>
                <w:color w:val="auto"/>
              </w:rPr>
            </w:pPr>
          </w:p>
        </w:tc>
        <w:tc>
          <w:tcPr>
            <w:tcW w:w="3433" w:type="dxa"/>
            <w:shd w:val="clear" w:color="auto" w:fill="auto"/>
            <w:vAlign w:val="center"/>
          </w:tcPr>
          <w:p w14:paraId="4952AD05">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医院在用药品品规数量×（40%~60%）</w:t>
            </w:r>
          </w:p>
        </w:tc>
        <w:tc>
          <w:tcPr>
            <w:tcW w:w="733" w:type="dxa"/>
            <w:shd w:val="clear" w:color="auto" w:fill="auto"/>
            <w:vAlign w:val="center"/>
          </w:tcPr>
          <w:p w14:paraId="1F5DC17E">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4</w:t>
            </w:r>
          </w:p>
        </w:tc>
        <w:tc>
          <w:tcPr>
            <w:tcW w:w="717" w:type="dxa"/>
            <w:shd w:val="clear" w:color="auto" w:fill="auto"/>
            <w:vAlign w:val="center"/>
          </w:tcPr>
          <w:p w14:paraId="6A9D8F21">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008852D9">
            <w:pPr>
              <w:widowControl/>
              <w:jc w:val="left"/>
              <w:rPr>
                <w:rFonts w:ascii="Times New Roman" w:hAnsi="Times New Roman" w:eastAsia="宋体" w:cs="Times New Roman"/>
                <w:color w:val="auto"/>
                <w:kern w:val="0"/>
                <w:sz w:val="24"/>
              </w:rPr>
            </w:pPr>
          </w:p>
        </w:tc>
        <w:tc>
          <w:tcPr>
            <w:tcW w:w="2734" w:type="dxa"/>
            <w:vMerge w:val="continue"/>
            <w:shd w:val="clear" w:color="auto" w:fill="auto"/>
            <w:vAlign w:val="center"/>
          </w:tcPr>
          <w:p w14:paraId="1A6AB6CA">
            <w:pPr>
              <w:widowControl/>
              <w:jc w:val="left"/>
              <w:rPr>
                <w:rFonts w:ascii="Times New Roman" w:hAnsi="Times New Roman" w:eastAsia="宋体" w:cs="Times New Roman"/>
                <w:color w:val="auto"/>
                <w:kern w:val="0"/>
                <w:sz w:val="24"/>
              </w:rPr>
            </w:pPr>
          </w:p>
        </w:tc>
      </w:tr>
      <w:tr w14:paraId="5930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75" w:type="dxa"/>
            <w:vMerge w:val="continue"/>
            <w:shd w:val="clear" w:color="auto" w:fill="auto"/>
            <w:vAlign w:val="center"/>
          </w:tcPr>
          <w:p w14:paraId="5F9962E8">
            <w:pPr>
              <w:widowControl/>
              <w:jc w:val="left"/>
              <w:rPr>
                <w:rFonts w:ascii="Times New Roman" w:hAnsi="Times New Roman" w:eastAsia="宋体" w:cs="Times New Roman"/>
                <w:color w:val="auto"/>
                <w:kern w:val="0"/>
                <w:sz w:val="24"/>
              </w:rPr>
            </w:pPr>
          </w:p>
        </w:tc>
        <w:tc>
          <w:tcPr>
            <w:tcW w:w="1672" w:type="dxa"/>
            <w:vMerge w:val="continue"/>
            <w:shd w:val="clear" w:color="auto" w:fill="auto"/>
            <w:vAlign w:val="center"/>
          </w:tcPr>
          <w:p w14:paraId="4F169714">
            <w:pPr>
              <w:widowControl/>
              <w:jc w:val="left"/>
              <w:rPr>
                <w:rFonts w:ascii="Times New Roman" w:hAnsi="Times New Roman" w:eastAsia="宋体" w:cs="Times New Roman"/>
                <w:color w:val="auto"/>
                <w:kern w:val="0"/>
                <w:sz w:val="24"/>
              </w:rPr>
            </w:pPr>
          </w:p>
        </w:tc>
        <w:tc>
          <w:tcPr>
            <w:tcW w:w="3433" w:type="dxa"/>
            <w:shd w:val="clear" w:color="auto" w:fill="auto"/>
            <w:vAlign w:val="center"/>
          </w:tcPr>
          <w:p w14:paraId="0D35EC7F">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医院在用药品品规数量×（60%~80%）</w:t>
            </w:r>
          </w:p>
        </w:tc>
        <w:tc>
          <w:tcPr>
            <w:tcW w:w="733" w:type="dxa"/>
            <w:shd w:val="clear" w:color="auto" w:fill="auto"/>
            <w:vAlign w:val="center"/>
          </w:tcPr>
          <w:p w14:paraId="6B395DAA">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6</w:t>
            </w:r>
          </w:p>
        </w:tc>
        <w:tc>
          <w:tcPr>
            <w:tcW w:w="717" w:type="dxa"/>
            <w:shd w:val="clear" w:color="auto" w:fill="auto"/>
            <w:vAlign w:val="center"/>
          </w:tcPr>
          <w:p w14:paraId="39AD361A">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0B2A80A6">
            <w:pPr>
              <w:widowControl/>
              <w:jc w:val="left"/>
              <w:rPr>
                <w:rFonts w:ascii="Times New Roman" w:hAnsi="Times New Roman" w:eastAsia="宋体" w:cs="Times New Roman"/>
                <w:color w:val="auto"/>
                <w:kern w:val="0"/>
                <w:sz w:val="24"/>
              </w:rPr>
            </w:pPr>
          </w:p>
        </w:tc>
        <w:tc>
          <w:tcPr>
            <w:tcW w:w="2734" w:type="dxa"/>
            <w:vMerge w:val="continue"/>
            <w:shd w:val="clear" w:color="auto" w:fill="auto"/>
            <w:vAlign w:val="center"/>
          </w:tcPr>
          <w:p w14:paraId="73E14D80">
            <w:pPr>
              <w:widowControl/>
              <w:jc w:val="left"/>
              <w:rPr>
                <w:rFonts w:ascii="Times New Roman" w:hAnsi="Times New Roman" w:eastAsia="宋体" w:cs="Times New Roman"/>
                <w:color w:val="auto"/>
                <w:kern w:val="0"/>
                <w:sz w:val="24"/>
              </w:rPr>
            </w:pPr>
          </w:p>
        </w:tc>
      </w:tr>
      <w:tr w14:paraId="01C9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75" w:type="dxa"/>
            <w:vMerge w:val="continue"/>
            <w:shd w:val="clear" w:color="auto" w:fill="auto"/>
            <w:vAlign w:val="center"/>
          </w:tcPr>
          <w:p w14:paraId="26129EB4">
            <w:pPr>
              <w:widowControl/>
              <w:jc w:val="left"/>
              <w:rPr>
                <w:rFonts w:ascii="Times New Roman" w:hAnsi="Times New Roman" w:eastAsia="宋体" w:cs="Times New Roman"/>
                <w:color w:val="auto"/>
                <w:kern w:val="0"/>
                <w:sz w:val="24"/>
              </w:rPr>
            </w:pPr>
          </w:p>
        </w:tc>
        <w:tc>
          <w:tcPr>
            <w:tcW w:w="1672" w:type="dxa"/>
            <w:vMerge w:val="continue"/>
            <w:shd w:val="clear" w:color="auto" w:fill="auto"/>
            <w:vAlign w:val="center"/>
          </w:tcPr>
          <w:p w14:paraId="296B8AAF">
            <w:pPr>
              <w:widowControl/>
              <w:jc w:val="left"/>
              <w:rPr>
                <w:rFonts w:ascii="Times New Roman" w:hAnsi="Times New Roman" w:eastAsia="宋体" w:cs="Times New Roman"/>
                <w:color w:val="auto"/>
                <w:kern w:val="0"/>
                <w:sz w:val="24"/>
              </w:rPr>
            </w:pPr>
          </w:p>
        </w:tc>
        <w:tc>
          <w:tcPr>
            <w:tcW w:w="3433" w:type="dxa"/>
            <w:shd w:val="clear" w:color="auto" w:fill="auto"/>
            <w:vAlign w:val="center"/>
          </w:tcPr>
          <w:p w14:paraId="461498B1">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医院在用药品品规数量×（80%~100%）</w:t>
            </w:r>
          </w:p>
        </w:tc>
        <w:tc>
          <w:tcPr>
            <w:tcW w:w="733" w:type="dxa"/>
            <w:shd w:val="clear" w:color="auto" w:fill="auto"/>
            <w:vAlign w:val="center"/>
          </w:tcPr>
          <w:p w14:paraId="6775CBBA">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8</w:t>
            </w:r>
          </w:p>
        </w:tc>
        <w:tc>
          <w:tcPr>
            <w:tcW w:w="717" w:type="dxa"/>
            <w:shd w:val="clear" w:color="auto" w:fill="auto"/>
            <w:vAlign w:val="center"/>
          </w:tcPr>
          <w:p w14:paraId="338F3087">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38E30A47">
            <w:pPr>
              <w:widowControl/>
              <w:jc w:val="left"/>
              <w:rPr>
                <w:rFonts w:ascii="Times New Roman" w:hAnsi="Times New Roman" w:eastAsia="宋体" w:cs="Times New Roman"/>
                <w:color w:val="auto"/>
                <w:kern w:val="0"/>
                <w:sz w:val="24"/>
              </w:rPr>
            </w:pPr>
          </w:p>
        </w:tc>
        <w:tc>
          <w:tcPr>
            <w:tcW w:w="2734" w:type="dxa"/>
            <w:vMerge w:val="continue"/>
            <w:shd w:val="clear" w:color="auto" w:fill="auto"/>
            <w:vAlign w:val="center"/>
          </w:tcPr>
          <w:p w14:paraId="129C657A">
            <w:pPr>
              <w:widowControl/>
              <w:jc w:val="left"/>
              <w:rPr>
                <w:rFonts w:ascii="Times New Roman" w:hAnsi="Times New Roman" w:eastAsia="宋体" w:cs="Times New Roman"/>
                <w:color w:val="auto"/>
                <w:kern w:val="0"/>
                <w:sz w:val="24"/>
              </w:rPr>
            </w:pPr>
          </w:p>
        </w:tc>
      </w:tr>
      <w:tr w14:paraId="7B9A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75" w:type="dxa"/>
            <w:vMerge w:val="continue"/>
            <w:shd w:val="clear" w:color="auto" w:fill="auto"/>
            <w:vAlign w:val="center"/>
          </w:tcPr>
          <w:p w14:paraId="3F1C2DA0">
            <w:pPr>
              <w:widowControl/>
              <w:jc w:val="left"/>
              <w:rPr>
                <w:rFonts w:ascii="Times New Roman" w:hAnsi="Times New Roman" w:eastAsia="宋体" w:cs="Times New Roman"/>
                <w:color w:val="auto"/>
                <w:kern w:val="0"/>
                <w:sz w:val="24"/>
              </w:rPr>
            </w:pPr>
          </w:p>
        </w:tc>
        <w:tc>
          <w:tcPr>
            <w:tcW w:w="1672" w:type="dxa"/>
            <w:vMerge w:val="continue"/>
            <w:shd w:val="clear" w:color="auto" w:fill="auto"/>
            <w:vAlign w:val="center"/>
          </w:tcPr>
          <w:p w14:paraId="1956052F">
            <w:pPr>
              <w:widowControl/>
              <w:jc w:val="left"/>
              <w:rPr>
                <w:rFonts w:ascii="Times New Roman" w:hAnsi="Times New Roman" w:eastAsia="宋体" w:cs="Times New Roman"/>
                <w:color w:val="auto"/>
                <w:kern w:val="0"/>
                <w:sz w:val="24"/>
              </w:rPr>
            </w:pPr>
          </w:p>
        </w:tc>
        <w:tc>
          <w:tcPr>
            <w:tcW w:w="3433" w:type="dxa"/>
            <w:shd w:val="clear" w:color="auto" w:fill="auto"/>
            <w:vAlign w:val="center"/>
          </w:tcPr>
          <w:p w14:paraId="0D185AE7">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≥医院在用药品品规数量×100%</w:t>
            </w:r>
          </w:p>
        </w:tc>
        <w:tc>
          <w:tcPr>
            <w:tcW w:w="733" w:type="dxa"/>
            <w:shd w:val="clear" w:color="auto" w:fill="auto"/>
            <w:vAlign w:val="center"/>
          </w:tcPr>
          <w:p w14:paraId="3D16D8A5">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10</w:t>
            </w:r>
          </w:p>
        </w:tc>
        <w:tc>
          <w:tcPr>
            <w:tcW w:w="717" w:type="dxa"/>
            <w:shd w:val="clear" w:color="auto" w:fill="auto"/>
            <w:vAlign w:val="center"/>
          </w:tcPr>
          <w:p w14:paraId="58F0E1F5">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3C94B93A">
            <w:pPr>
              <w:widowControl/>
              <w:jc w:val="left"/>
              <w:rPr>
                <w:rFonts w:ascii="Times New Roman" w:hAnsi="Times New Roman" w:eastAsia="宋体" w:cs="Times New Roman"/>
                <w:color w:val="auto"/>
                <w:kern w:val="0"/>
                <w:sz w:val="24"/>
              </w:rPr>
            </w:pPr>
          </w:p>
        </w:tc>
        <w:tc>
          <w:tcPr>
            <w:tcW w:w="2734" w:type="dxa"/>
            <w:vMerge w:val="continue"/>
            <w:shd w:val="clear" w:color="auto" w:fill="auto"/>
            <w:vAlign w:val="center"/>
          </w:tcPr>
          <w:p w14:paraId="6BFE1C1F">
            <w:pPr>
              <w:widowControl/>
              <w:jc w:val="left"/>
              <w:rPr>
                <w:rFonts w:ascii="Times New Roman" w:hAnsi="Times New Roman" w:eastAsia="宋体" w:cs="Times New Roman"/>
                <w:color w:val="auto"/>
                <w:kern w:val="0"/>
                <w:sz w:val="24"/>
              </w:rPr>
            </w:pPr>
          </w:p>
        </w:tc>
      </w:tr>
      <w:tr w14:paraId="0486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75" w:type="dxa"/>
            <w:vMerge w:val="continue"/>
            <w:vAlign w:val="center"/>
          </w:tcPr>
          <w:p w14:paraId="69C732E0">
            <w:pPr>
              <w:widowControl/>
              <w:jc w:val="left"/>
              <w:rPr>
                <w:rFonts w:ascii="Times New Roman" w:hAnsi="Times New Roman" w:eastAsia="宋体" w:cs="Times New Roman"/>
                <w:b/>
                <w:bCs/>
                <w:color w:val="auto"/>
                <w:kern w:val="0"/>
                <w:sz w:val="24"/>
              </w:rPr>
            </w:pPr>
          </w:p>
        </w:tc>
        <w:tc>
          <w:tcPr>
            <w:tcW w:w="1672" w:type="dxa"/>
            <w:vMerge w:val="restart"/>
            <w:shd w:val="clear" w:color="auto" w:fill="auto"/>
            <w:vAlign w:val="center"/>
          </w:tcPr>
          <w:p w14:paraId="1CBA6674">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1.2基药品种</w:t>
            </w:r>
            <w:r>
              <w:rPr>
                <w:rFonts w:ascii="Times New Roman" w:hAnsi="Times New Roman" w:eastAsia="宋体" w:cs="Times New Roman"/>
                <w:color w:val="auto"/>
                <w:kern w:val="0"/>
                <w:sz w:val="24"/>
              </w:rPr>
              <w:t>覆盖程度</w:t>
            </w:r>
            <w:r>
              <w:rPr>
                <w:rFonts w:hint="eastAsia" w:ascii="Times New Roman" w:hAnsi="Times New Roman" w:eastAsia="宋体" w:cs="Times New Roman"/>
                <w:color w:val="auto"/>
                <w:kern w:val="0"/>
                <w:sz w:val="24"/>
              </w:rPr>
              <w:t>（5分）</w:t>
            </w:r>
          </w:p>
        </w:tc>
        <w:tc>
          <w:tcPr>
            <w:tcW w:w="3433" w:type="dxa"/>
            <w:shd w:val="clear" w:color="auto" w:fill="auto"/>
            <w:vAlign w:val="center"/>
          </w:tcPr>
          <w:p w14:paraId="6C10C2AD">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 xml:space="preserve">&lt;覆盖基药品规数×40% </w:t>
            </w:r>
          </w:p>
        </w:tc>
        <w:tc>
          <w:tcPr>
            <w:tcW w:w="733" w:type="dxa"/>
            <w:shd w:val="clear" w:color="auto" w:fill="auto"/>
            <w:vAlign w:val="center"/>
          </w:tcPr>
          <w:p w14:paraId="344DF112">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1</w:t>
            </w:r>
          </w:p>
        </w:tc>
        <w:tc>
          <w:tcPr>
            <w:tcW w:w="717" w:type="dxa"/>
            <w:shd w:val="clear" w:color="auto" w:fill="auto"/>
            <w:vAlign w:val="center"/>
          </w:tcPr>
          <w:p w14:paraId="1ED49711">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2F965D6B">
            <w:pPr>
              <w:widowControl/>
              <w:jc w:val="left"/>
              <w:rPr>
                <w:rFonts w:ascii="Times New Roman" w:hAnsi="Times New Roman" w:eastAsia="宋体" w:cs="Times New Roman"/>
                <w:color w:val="auto"/>
                <w:kern w:val="0"/>
                <w:sz w:val="24"/>
              </w:rPr>
            </w:pPr>
          </w:p>
        </w:tc>
        <w:tc>
          <w:tcPr>
            <w:tcW w:w="2734" w:type="dxa"/>
            <w:vMerge w:val="restart"/>
            <w:shd w:val="clear" w:color="auto" w:fill="auto"/>
            <w:vAlign w:val="center"/>
          </w:tcPr>
          <w:p w14:paraId="0125698D">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提供企业供应品种目录</w:t>
            </w:r>
            <w:r>
              <w:rPr>
                <w:rFonts w:hint="eastAsia" w:ascii="Times New Roman" w:hAnsi="Times New Roman" w:eastAsia="宋体" w:cs="Times New Roman"/>
                <w:color w:val="auto"/>
                <w:kern w:val="0"/>
                <w:sz w:val="24"/>
              </w:rPr>
              <w:t>与《</w:t>
            </w:r>
            <w:r>
              <w:rPr>
                <w:rFonts w:ascii="Times New Roman" w:hAnsi="Times New Roman" w:eastAsia="宋体" w:cs="Times New Roman"/>
                <w:color w:val="auto"/>
                <w:kern w:val="0"/>
                <w:sz w:val="24"/>
              </w:rPr>
              <w:t>国家基本药物</w:t>
            </w:r>
            <w:r>
              <w:rPr>
                <w:rFonts w:hint="eastAsia" w:ascii="Times New Roman" w:hAnsi="Times New Roman" w:eastAsia="宋体" w:cs="Times New Roman"/>
                <w:color w:val="auto"/>
                <w:kern w:val="0"/>
                <w:sz w:val="24"/>
              </w:rPr>
              <w:t>目录</w:t>
            </w:r>
            <w:r>
              <w:rPr>
                <w:rFonts w:ascii="Times New Roman" w:hAnsi="Times New Roman" w:eastAsia="宋体" w:cs="Times New Roman"/>
                <w:color w:val="auto"/>
                <w:kern w:val="0"/>
                <w:sz w:val="24"/>
              </w:rPr>
              <w:t>（2018年版</w:t>
            </w:r>
            <w:r>
              <w:rPr>
                <w:rFonts w:hint="eastAsia" w:ascii="Times New Roman" w:hAnsi="Times New Roman" w:eastAsia="宋体" w:cs="Times New Roman"/>
                <w:color w:val="auto"/>
                <w:kern w:val="0"/>
                <w:sz w:val="24"/>
              </w:rPr>
              <w:t>）》</w:t>
            </w:r>
            <w:r>
              <w:rPr>
                <w:rFonts w:ascii="Times New Roman" w:hAnsi="Times New Roman" w:eastAsia="宋体" w:cs="Times New Roman"/>
                <w:color w:val="auto"/>
                <w:kern w:val="0"/>
                <w:sz w:val="24"/>
              </w:rPr>
              <w:t>载入品种（除中药饮片外）的匹配对比Excel表格，并加盖企业公章</w:t>
            </w:r>
            <w:r>
              <w:rPr>
                <w:rFonts w:hint="eastAsia" w:ascii="Times New Roman" w:hAnsi="Times New Roman" w:eastAsia="宋体" w:cs="Times New Roman"/>
                <w:color w:val="auto"/>
                <w:kern w:val="0"/>
                <w:sz w:val="24"/>
              </w:rPr>
              <w:t>。</w:t>
            </w:r>
          </w:p>
        </w:tc>
      </w:tr>
      <w:tr w14:paraId="06C1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75" w:type="dxa"/>
            <w:vMerge w:val="continue"/>
            <w:vAlign w:val="center"/>
          </w:tcPr>
          <w:p w14:paraId="2D374E1F">
            <w:pPr>
              <w:widowControl/>
              <w:jc w:val="left"/>
              <w:rPr>
                <w:color w:val="auto"/>
              </w:rPr>
            </w:pPr>
          </w:p>
        </w:tc>
        <w:tc>
          <w:tcPr>
            <w:tcW w:w="1672" w:type="dxa"/>
            <w:vMerge w:val="continue"/>
            <w:shd w:val="clear" w:color="auto" w:fill="auto"/>
            <w:vAlign w:val="center"/>
          </w:tcPr>
          <w:p w14:paraId="09B359FA">
            <w:pPr>
              <w:widowControl/>
              <w:jc w:val="left"/>
              <w:rPr>
                <w:color w:val="auto"/>
              </w:rPr>
            </w:pPr>
          </w:p>
        </w:tc>
        <w:tc>
          <w:tcPr>
            <w:tcW w:w="3433" w:type="dxa"/>
            <w:shd w:val="clear" w:color="auto" w:fill="auto"/>
            <w:vAlign w:val="center"/>
          </w:tcPr>
          <w:p w14:paraId="57F13839">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覆盖基药品规数×（40%</w:t>
            </w:r>
            <w:r>
              <w:rPr>
                <w:rFonts w:hint="eastAsia" w:ascii="Times New Roman" w:hAnsi="Times New Roman" w:eastAsia="宋体" w:cs="Times New Roman"/>
                <w:color w:val="auto"/>
                <w:kern w:val="0"/>
                <w:sz w:val="24"/>
              </w:rPr>
              <w:t>-</w:t>
            </w:r>
            <w:r>
              <w:rPr>
                <w:rFonts w:ascii="Times New Roman" w:hAnsi="Times New Roman" w:eastAsia="宋体" w:cs="Times New Roman"/>
                <w:color w:val="auto"/>
                <w:kern w:val="0"/>
                <w:sz w:val="24"/>
              </w:rPr>
              <w:t>60%）</w:t>
            </w:r>
          </w:p>
        </w:tc>
        <w:tc>
          <w:tcPr>
            <w:tcW w:w="733" w:type="dxa"/>
            <w:shd w:val="clear" w:color="auto" w:fill="auto"/>
            <w:vAlign w:val="center"/>
          </w:tcPr>
          <w:p w14:paraId="41D0FCDD">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2</w:t>
            </w:r>
          </w:p>
        </w:tc>
        <w:tc>
          <w:tcPr>
            <w:tcW w:w="717" w:type="dxa"/>
            <w:shd w:val="clear" w:color="auto" w:fill="auto"/>
            <w:vAlign w:val="center"/>
          </w:tcPr>
          <w:p w14:paraId="1BA95F48">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789FCE1F">
            <w:pPr>
              <w:widowControl/>
              <w:jc w:val="left"/>
              <w:rPr>
                <w:rFonts w:ascii="Times New Roman" w:hAnsi="Times New Roman" w:eastAsia="宋体" w:cs="Times New Roman"/>
                <w:color w:val="auto"/>
                <w:kern w:val="0"/>
                <w:sz w:val="24"/>
              </w:rPr>
            </w:pPr>
          </w:p>
        </w:tc>
        <w:tc>
          <w:tcPr>
            <w:tcW w:w="2734" w:type="dxa"/>
            <w:vMerge w:val="continue"/>
            <w:shd w:val="clear" w:color="auto" w:fill="auto"/>
            <w:vAlign w:val="center"/>
          </w:tcPr>
          <w:p w14:paraId="73D5BBBF">
            <w:pPr>
              <w:widowControl/>
              <w:jc w:val="left"/>
              <w:rPr>
                <w:rFonts w:ascii="Times New Roman" w:hAnsi="Times New Roman" w:eastAsia="宋体" w:cs="Times New Roman"/>
                <w:color w:val="auto"/>
                <w:kern w:val="0"/>
                <w:sz w:val="24"/>
              </w:rPr>
            </w:pPr>
          </w:p>
        </w:tc>
      </w:tr>
      <w:tr w14:paraId="052A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75" w:type="dxa"/>
            <w:vMerge w:val="continue"/>
            <w:vAlign w:val="center"/>
          </w:tcPr>
          <w:p w14:paraId="0FE41344">
            <w:pPr>
              <w:widowControl/>
              <w:jc w:val="left"/>
              <w:rPr>
                <w:rFonts w:ascii="Times New Roman" w:hAnsi="Times New Roman" w:eastAsia="宋体" w:cs="Times New Roman"/>
                <w:color w:val="auto"/>
                <w:kern w:val="0"/>
                <w:sz w:val="24"/>
              </w:rPr>
            </w:pPr>
          </w:p>
        </w:tc>
        <w:tc>
          <w:tcPr>
            <w:tcW w:w="1672" w:type="dxa"/>
            <w:vMerge w:val="continue"/>
            <w:shd w:val="clear" w:color="auto" w:fill="auto"/>
            <w:vAlign w:val="center"/>
          </w:tcPr>
          <w:p w14:paraId="16BFA314">
            <w:pPr>
              <w:widowControl/>
              <w:jc w:val="left"/>
              <w:rPr>
                <w:rFonts w:ascii="Times New Roman" w:hAnsi="Times New Roman" w:eastAsia="宋体" w:cs="Times New Roman"/>
                <w:color w:val="auto"/>
                <w:kern w:val="0"/>
                <w:sz w:val="24"/>
              </w:rPr>
            </w:pPr>
          </w:p>
        </w:tc>
        <w:tc>
          <w:tcPr>
            <w:tcW w:w="3433" w:type="dxa"/>
            <w:shd w:val="clear" w:color="auto" w:fill="auto"/>
            <w:vAlign w:val="center"/>
          </w:tcPr>
          <w:p w14:paraId="35020EEF">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覆盖基药品规数×（</w:t>
            </w:r>
            <w:r>
              <w:rPr>
                <w:rFonts w:hint="eastAsia" w:ascii="Times New Roman" w:hAnsi="Times New Roman" w:eastAsia="宋体" w:cs="Times New Roman"/>
                <w:color w:val="auto"/>
                <w:kern w:val="0"/>
                <w:sz w:val="24"/>
              </w:rPr>
              <w:t>6</w:t>
            </w:r>
            <w:r>
              <w:rPr>
                <w:rFonts w:ascii="Times New Roman" w:hAnsi="Times New Roman" w:eastAsia="宋体" w:cs="Times New Roman"/>
                <w:color w:val="auto"/>
                <w:kern w:val="0"/>
                <w:sz w:val="24"/>
              </w:rPr>
              <w:t>0%</w:t>
            </w:r>
            <w:r>
              <w:rPr>
                <w:rFonts w:hint="eastAsia" w:ascii="Times New Roman" w:hAnsi="Times New Roman" w:eastAsia="宋体" w:cs="Times New Roman"/>
                <w:color w:val="auto"/>
                <w:kern w:val="0"/>
                <w:sz w:val="24"/>
              </w:rPr>
              <w:t>-8</w:t>
            </w:r>
            <w:r>
              <w:rPr>
                <w:rFonts w:ascii="Times New Roman" w:hAnsi="Times New Roman" w:eastAsia="宋体" w:cs="Times New Roman"/>
                <w:color w:val="auto"/>
                <w:kern w:val="0"/>
                <w:sz w:val="24"/>
              </w:rPr>
              <w:t>0%）</w:t>
            </w:r>
          </w:p>
        </w:tc>
        <w:tc>
          <w:tcPr>
            <w:tcW w:w="733" w:type="dxa"/>
            <w:shd w:val="clear" w:color="auto" w:fill="auto"/>
            <w:vAlign w:val="center"/>
          </w:tcPr>
          <w:p w14:paraId="3542A021">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3</w:t>
            </w:r>
          </w:p>
        </w:tc>
        <w:tc>
          <w:tcPr>
            <w:tcW w:w="717" w:type="dxa"/>
            <w:shd w:val="clear" w:color="auto" w:fill="auto"/>
            <w:vAlign w:val="center"/>
          </w:tcPr>
          <w:p w14:paraId="6B349266">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6A8322F9">
            <w:pPr>
              <w:widowControl/>
              <w:jc w:val="left"/>
              <w:rPr>
                <w:rFonts w:ascii="Times New Roman" w:hAnsi="Times New Roman" w:eastAsia="宋体" w:cs="Times New Roman"/>
                <w:color w:val="auto"/>
                <w:kern w:val="0"/>
                <w:sz w:val="24"/>
              </w:rPr>
            </w:pPr>
          </w:p>
        </w:tc>
        <w:tc>
          <w:tcPr>
            <w:tcW w:w="2734" w:type="dxa"/>
            <w:vMerge w:val="continue"/>
            <w:shd w:val="clear" w:color="auto" w:fill="auto"/>
            <w:vAlign w:val="center"/>
          </w:tcPr>
          <w:p w14:paraId="7BC20C6A">
            <w:pPr>
              <w:widowControl/>
              <w:jc w:val="left"/>
              <w:rPr>
                <w:rFonts w:ascii="Times New Roman" w:hAnsi="Times New Roman" w:eastAsia="宋体" w:cs="Times New Roman"/>
                <w:color w:val="auto"/>
                <w:kern w:val="0"/>
                <w:sz w:val="24"/>
              </w:rPr>
            </w:pPr>
          </w:p>
        </w:tc>
      </w:tr>
      <w:tr w14:paraId="382E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75" w:type="dxa"/>
            <w:vMerge w:val="continue"/>
            <w:vAlign w:val="center"/>
          </w:tcPr>
          <w:p w14:paraId="2ADDCECC">
            <w:pPr>
              <w:widowControl/>
              <w:jc w:val="left"/>
              <w:rPr>
                <w:rFonts w:ascii="Times New Roman" w:hAnsi="Times New Roman" w:eastAsia="宋体" w:cs="Times New Roman"/>
                <w:color w:val="auto"/>
                <w:kern w:val="0"/>
                <w:sz w:val="24"/>
              </w:rPr>
            </w:pPr>
          </w:p>
        </w:tc>
        <w:tc>
          <w:tcPr>
            <w:tcW w:w="1672" w:type="dxa"/>
            <w:vMerge w:val="continue"/>
            <w:shd w:val="clear" w:color="auto" w:fill="auto"/>
            <w:vAlign w:val="center"/>
          </w:tcPr>
          <w:p w14:paraId="6BCD38DE">
            <w:pPr>
              <w:widowControl/>
              <w:jc w:val="left"/>
              <w:rPr>
                <w:rFonts w:ascii="Times New Roman" w:hAnsi="Times New Roman" w:eastAsia="宋体" w:cs="Times New Roman"/>
                <w:color w:val="auto"/>
                <w:kern w:val="0"/>
                <w:sz w:val="24"/>
              </w:rPr>
            </w:pPr>
          </w:p>
        </w:tc>
        <w:tc>
          <w:tcPr>
            <w:tcW w:w="3433" w:type="dxa"/>
            <w:shd w:val="clear" w:color="auto" w:fill="auto"/>
            <w:vAlign w:val="center"/>
          </w:tcPr>
          <w:p w14:paraId="1DB2275F">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覆盖基药品规数×（80%</w:t>
            </w:r>
            <w:r>
              <w:rPr>
                <w:rFonts w:hint="eastAsia" w:ascii="Times New Roman" w:hAnsi="Times New Roman" w:eastAsia="宋体" w:cs="Times New Roman"/>
                <w:color w:val="auto"/>
                <w:kern w:val="0"/>
                <w:sz w:val="24"/>
              </w:rPr>
              <w:t>-</w:t>
            </w:r>
            <w:r>
              <w:rPr>
                <w:rFonts w:ascii="Times New Roman" w:hAnsi="Times New Roman" w:eastAsia="宋体" w:cs="Times New Roman"/>
                <w:color w:val="auto"/>
                <w:kern w:val="0"/>
                <w:sz w:val="24"/>
              </w:rPr>
              <w:t>100%）</w:t>
            </w:r>
          </w:p>
        </w:tc>
        <w:tc>
          <w:tcPr>
            <w:tcW w:w="733" w:type="dxa"/>
            <w:shd w:val="clear" w:color="auto" w:fill="auto"/>
            <w:vAlign w:val="center"/>
          </w:tcPr>
          <w:p w14:paraId="7F2FADA6">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4</w:t>
            </w:r>
          </w:p>
        </w:tc>
        <w:tc>
          <w:tcPr>
            <w:tcW w:w="717" w:type="dxa"/>
            <w:shd w:val="clear" w:color="auto" w:fill="auto"/>
            <w:vAlign w:val="center"/>
          </w:tcPr>
          <w:p w14:paraId="28232B59">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75001217">
            <w:pPr>
              <w:widowControl/>
              <w:jc w:val="left"/>
              <w:rPr>
                <w:rFonts w:ascii="Times New Roman" w:hAnsi="Times New Roman" w:eastAsia="宋体" w:cs="Times New Roman"/>
                <w:color w:val="auto"/>
                <w:kern w:val="0"/>
                <w:sz w:val="24"/>
              </w:rPr>
            </w:pPr>
          </w:p>
        </w:tc>
        <w:tc>
          <w:tcPr>
            <w:tcW w:w="2734" w:type="dxa"/>
            <w:vMerge w:val="continue"/>
            <w:shd w:val="clear" w:color="auto" w:fill="auto"/>
            <w:vAlign w:val="center"/>
          </w:tcPr>
          <w:p w14:paraId="07357B1E">
            <w:pPr>
              <w:widowControl/>
              <w:jc w:val="left"/>
              <w:rPr>
                <w:rFonts w:ascii="Times New Roman" w:hAnsi="Times New Roman" w:eastAsia="宋体" w:cs="Times New Roman"/>
                <w:color w:val="auto"/>
                <w:kern w:val="0"/>
                <w:sz w:val="24"/>
              </w:rPr>
            </w:pPr>
          </w:p>
        </w:tc>
      </w:tr>
      <w:tr w14:paraId="6DD0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75" w:type="dxa"/>
            <w:vMerge w:val="continue"/>
            <w:vAlign w:val="center"/>
          </w:tcPr>
          <w:p w14:paraId="1CD06C19">
            <w:pPr>
              <w:widowControl/>
              <w:jc w:val="left"/>
              <w:rPr>
                <w:rFonts w:ascii="Times New Roman" w:hAnsi="Times New Roman" w:eastAsia="宋体" w:cs="Times New Roman"/>
                <w:color w:val="auto"/>
                <w:kern w:val="0"/>
                <w:sz w:val="24"/>
              </w:rPr>
            </w:pPr>
          </w:p>
        </w:tc>
        <w:tc>
          <w:tcPr>
            <w:tcW w:w="1672" w:type="dxa"/>
            <w:vMerge w:val="continue"/>
            <w:shd w:val="clear" w:color="auto" w:fill="auto"/>
            <w:vAlign w:val="center"/>
          </w:tcPr>
          <w:p w14:paraId="1ACDE571">
            <w:pPr>
              <w:widowControl/>
              <w:jc w:val="left"/>
              <w:rPr>
                <w:rFonts w:ascii="Times New Roman" w:hAnsi="Times New Roman" w:eastAsia="宋体" w:cs="Times New Roman"/>
                <w:color w:val="auto"/>
                <w:kern w:val="0"/>
                <w:sz w:val="24"/>
              </w:rPr>
            </w:pPr>
          </w:p>
        </w:tc>
        <w:tc>
          <w:tcPr>
            <w:tcW w:w="3433" w:type="dxa"/>
            <w:shd w:val="clear" w:color="auto" w:fill="auto"/>
            <w:vAlign w:val="center"/>
          </w:tcPr>
          <w:p w14:paraId="638D311F">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≥覆盖基药品规数×100%</w:t>
            </w:r>
          </w:p>
        </w:tc>
        <w:tc>
          <w:tcPr>
            <w:tcW w:w="733" w:type="dxa"/>
            <w:shd w:val="clear" w:color="auto" w:fill="auto"/>
            <w:vAlign w:val="center"/>
          </w:tcPr>
          <w:p w14:paraId="2D01F59E">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5</w:t>
            </w:r>
          </w:p>
        </w:tc>
        <w:tc>
          <w:tcPr>
            <w:tcW w:w="717" w:type="dxa"/>
            <w:shd w:val="clear" w:color="auto" w:fill="auto"/>
            <w:vAlign w:val="center"/>
          </w:tcPr>
          <w:p w14:paraId="4DA4D7E5">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24C33C9D">
            <w:pPr>
              <w:widowControl/>
              <w:jc w:val="left"/>
              <w:rPr>
                <w:rFonts w:ascii="Times New Roman" w:hAnsi="Times New Roman" w:eastAsia="宋体" w:cs="Times New Roman"/>
                <w:color w:val="auto"/>
                <w:kern w:val="0"/>
                <w:sz w:val="24"/>
              </w:rPr>
            </w:pPr>
          </w:p>
        </w:tc>
        <w:tc>
          <w:tcPr>
            <w:tcW w:w="2734" w:type="dxa"/>
            <w:vMerge w:val="continue"/>
            <w:shd w:val="clear" w:color="auto" w:fill="auto"/>
            <w:vAlign w:val="center"/>
          </w:tcPr>
          <w:p w14:paraId="060889D3">
            <w:pPr>
              <w:widowControl/>
              <w:jc w:val="left"/>
              <w:rPr>
                <w:rFonts w:ascii="Times New Roman" w:hAnsi="Times New Roman" w:eastAsia="宋体" w:cs="Times New Roman"/>
                <w:color w:val="auto"/>
                <w:kern w:val="0"/>
                <w:sz w:val="24"/>
              </w:rPr>
            </w:pPr>
          </w:p>
        </w:tc>
      </w:tr>
      <w:tr w14:paraId="7BCE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075" w:type="dxa"/>
            <w:vMerge w:val="continue"/>
            <w:vAlign w:val="center"/>
          </w:tcPr>
          <w:p w14:paraId="6092D539">
            <w:pPr>
              <w:widowControl/>
              <w:jc w:val="left"/>
              <w:rPr>
                <w:rFonts w:ascii="Times New Roman" w:hAnsi="Times New Roman" w:eastAsia="宋体" w:cs="Times New Roman"/>
                <w:b/>
                <w:bCs/>
                <w:color w:val="auto"/>
                <w:kern w:val="0"/>
                <w:sz w:val="24"/>
              </w:rPr>
            </w:pPr>
          </w:p>
        </w:tc>
        <w:tc>
          <w:tcPr>
            <w:tcW w:w="1672" w:type="dxa"/>
            <w:vMerge w:val="restart"/>
            <w:shd w:val="clear" w:color="auto" w:fill="auto"/>
            <w:vAlign w:val="center"/>
          </w:tcPr>
          <w:p w14:paraId="4354252F">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1.3</w:t>
            </w:r>
            <w:r>
              <w:rPr>
                <w:rFonts w:ascii="Times New Roman" w:hAnsi="Times New Roman" w:eastAsia="宋体" w:cs="Times New Roman"/>
                <w:color w:val="auto"/>
                <w:kern w:val="0"/>
                <w:sz w:val="24"/>
              </w:rPr>
              <w:t>经营范围</w:t>
            </w:r>
            <w:r>
              <w:rPr>
                <w:rFonts w:hint="eastAsia" w:ascii="Times New Roman" w:hAnsi="Times New Roman" w:eastAsia="宋体" w:cs="Times New Roman"/>
                <w:color w:val="auto"/>
                <w:kern w:val="0"/>
                <w:sz w:val="24"/>
              </w:rPr>
              <w:t>（</w:t>
            </w:r>
            <w:r>
              <w:rPr>
                <w:rFonts w:ascii="Times New Roman" w:hAnsi="Times New Roman" w:eastAsia="宋体" w:cs="Times New Roman"/>
                <w:color w:val="auto"/>
                <w:kern w:val="0"/>
                <w:sz w:val="24"/>
              </w:rPr>
              <w:t>10分）</w:t>
            </w:r>
          </w:p>
        </w:tc>
        <w:tc>
          <w:tcPr>
            <w:tcW w:w="3433" w:type="dxa"/>
            <w:shd w:val="clear" w:color="auto" w:fill="auto"/>
            <w:vAlign w:val="center"/>
          </w:tcPr>
          <w:p w14:paraId="44EC67F6">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经营中成药、化学药、生物制品、体外诊断试剂（药品）、蛋白同化制剂、肽类激素，得6分。每少一项扣1分。</w:t>
            </w:r>
          </w:p>
        </w:tc>
        <w:tc>
          <w:tcPr>
            <w:tcW w:w="733" w:type="dxa"/>
            <w:shd w:val="clear" w:color="auto" w:fill="auto"/>
            <w:vAlign w:val="center"/>
          </w:tcPr>
          <w:p w14:paraId="51407B24">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6</w:t>
            </w:r>
          </w:p>
        </w:tc>
        <w:tc>
          <w:tcPr>
            <w:tcW w:w="717" w:type="dxa"/>
            <w:shd w:val="clear" w:color="auto" w:fill="auto"/>
            <w:vAlign w:val="center"/>
          </w:tcPr>
          <w:p w14:paraId="11561491">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7BAC6B12">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　</w:t>
            </w:r>
          </w:p>
        </w:tc>
        <w:tc>
          <w:tcPr>
            <w:tcW w:w="2734" w:type="dxa"/>
            <w:vMerge w:val="restart"/>
            <w:shd w:val="clear" w:color="auto" w:fill="auto"/>
            <w:vAlign w:val="center"/>
          </w:tcPr>
          <w:p w14:paraId="0224B79C">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提供加盖公章的</w:t>
            </w:r>
            <w:r>
              <w:rPr>
                <w:rFonts w:ascii="Times New Roman" w:hAnsi="Times New Roman" w:eastAsia="宋体" w:cs="Times New Roman"/>
                <w:color w:val="auto"/>
                <w:kern w:val="0"/>
                <w:sz w:val="24"/>
              </w:rPr>
              <w:t>《药品经营许可证》</w:t>
            </w:r>
            <w:r>
              <w:rPr>
                <w:rFonts w:hint="eastAsia" w:ascii="Times New Roman" w:hAnsi="Times New Roman" w:eastAsia="宋体" w:cs="Times New Roman"/>
                <w:color w:val="auto"/>
                <w:kern w:val="0"/>
                <w:sz w:val="24"/>
              </w:rPr>
              <w:t>复印件</w:t>
            </w:r>
          </w:p>
          <w:p w14:paraId="254EEFC0">
            <w:pPr>
              <w:pStyle w:val="2"/>
              <w:ind w:firstLine="0" w:firstLineChars="0"/>
              <w:rPr>
                <w:color w:val="auto"/>
                <w:sz w:val="24"/>
                <w:szCs w:val="24"/>
              </w:rPr>
            </w:pPr>
          </w:p>
        </w:tc>
      </w:tr>
      <w:tr w14:paraId="2906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75" w:type="dxa"/>
            <w:vMerge w:val="continue"/>
            <w:vAlign w:val="center"/>
          </w:tcPr>
          <w:p w14:paraId="5A5124C8">
            <w:pPr>
              <w:widowControl/>
              <w:jc w:val="left"/>
              <w:rPr>
                <w:rFonts w:ascii="Times New Roman" w:hAnsi="Times New Roman" w:eastAsia="宋体" w:cs="Times New Roman"/>
                <w:b/>
                <w:bCs/>
                <w:color w:val="auto"/>
                <w:kern w:val="0"/>
                <w:sz w:val="24"/>
              </w:rPr>
            </w:pPr>
          </w:p>
        </w:tc>
        <w:tc>
          <w:tcPr>
            <w:tcW w:w="1672" w:type="dxa"/>
            <w:vMerge w:val="continue"/>
            <w:shd w:val="clear" w:color="auto" w:fill="auto"/>
            <w:vAlign w:val="center"/>
          </w:tcPr>
          <w:p w14:paraId="3CC36A9B">
            <w:pPr>
              <w:widowControl/>
              <w:jc w:val="left"/>
              <w:rPr>
                <w:rFonts w:ascii="Times New Roman" w:hAnsi="Times New Roman" w:eastAsia="宋体" w:cs="Times New Roman"/>
                <w:color w:val="auto"/>
                <w:kern w:val="0"/>
                <w:sz w:val="24"/>
              </w:rPr>
            </w:pPr>
          </w:p>
        </w:tc>
        <w:tc>
          <w:tcPr>
            <w:tcW w:w="3433" w:type="dxa"/>
            <w:shd w:val="clear" w:color="auto" w:fill="auto"/>
            <w:vAlign w:val="center"/>
          </w:tcPr>
          <w:p w14:paraId="13B57827">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企业除上述经营范围外，同时还经营精神药品、麻醉药品、医疗用毒性药品、药品类易制毒化学品制剂得4分。每少一项扣1分。</w:t>
            </w:r>
          </w:p>
        </w:tc>
        <w:tc>
          <w:tcPr>
            <w:tcW w:w="733" w:type="dxa"/>
            <w:shd w:val="clear" w:color="auto" w:fill="auto"/>
            <w:vAlign w:val="center"/>
          </w:tcPr>
          <w:p w14:paraId="694CB638">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4</w:t>
            </w:r>
          </w:p>
        </w:tc>
        <w:tc>
          <w:tcPr>
            <w:tcW w:w="717" w:type="dxa"/>
            <w:shd w:val="clear" w:color="auto" w:fill="auto"/>
            <w:vAlign w:val="center"/>
          </w:tcPr>
          <w:p w14:paraId="4A0F8C9B">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6DA55CEC">
            <w:pPr>
              <w:widowControl/>
              <w:jc w:val="left"/>
              <w:rPr>
                <w:rFonts w:ascii="Times New Roman" w:hAnsi="Times New Roman" w:eastAsia="宋体" w:cs="Times New Roman"/>
                <w:color w:val="auto"/>
                <w:kern w:val="0"/>
                <w:sz w:val="24"/>
              </w:rPr>
            </w:pPr>
          </w:p>
        </w:tc>
        <w:tc>
          <w:tcPr>
            <w:tcW w:w="2734" w:type="dxa"/>
            <w:vMerge w:val="continue"/>
            <w:shd w:val="clear" w:color="auto" w:fill="auto"/>
            <w:vAlign w:val="center"/>
          </w:tcPr>
          <w:p w14:paraId="2D8A0AC5">
            <w:pPr>
              <w:widowControl/>
              <w:jc w:val="left"/>
              <w:rPr>
                <w:rFonts w:ascii="Times New Roman" w:hAnsi="Times New Roman" w:eastAsia="宋体" w:cs="Times New Roman"/>
                <w:color w:val="auto"/>
                <w:kern w:val="0"/>
                <w:sz w:val="24"/>
              </w:rPr>
            </w:pPr>
          </w:p>
        </w:tc>
      </w:tr>
      <w:tr w14:paraId="4E9F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075" w:type="dxa"/>
            <w:vMerge w:val="restart"/>
            <w:shd w:val="clear" w:color="auto" w:fill="auto"/>
            <w:vAlign w:val="center"/>
          </w:tcPr>
          <w:p w14:paraId="1E35588E">
            <w:pPr>
              <w:widowControl/>
              <w:jc w:val="left"/>
              <w:rPr>
                <w:rFonts w:ascii="Times New Roman" w:hAnsi="Times New Roman" w:eastAsia="宋体" w:cs="Times New Roman"/>
                <w:b/>
                <w:bCs/>
                <w:color w:val="auto"/>
                <w:kern w:val="0"/>
                <w:sz w:val="24"/>
              </w:rPr>
            </w:pPr>
            <w:r>
              <w:rPr>
                <w:rFonts w:hint="eastAsia" w:ascii="Times New Roman" w:hAnsi="Times New Roman" w:eastAsia="宋体" w:cs="Times New Roman"/>
                <w:b/>
                <w:bCs/>
                <w:color w:val="auto"/>
                <w:kern w:val="0"/>
                <w:sz w:val="24"/>
              </w:rPr>
              <w:t>2.</w:t>
            </w:r>
            <w:r>
              <w:rPr>
                <w:rFonts w:ascii="Times New Roman" w:hAnsi="Times New Roman" w:eastAsia="宋体" w:cs="Times New Roman"/>
                <w:b/>
                <w:bCs/>
                <w:color w:val="auto"/>
                <w:kern w:val="0"/>
                <w:sz w:val="24"/>
              </w:rPr>
              <w:t>配送服务能力（</w:t>
            </w:r>
            <w:r>
              <w:rPr>
                <w:rFonts w:hint="eastAsia" w:ascii="Times New Roman" w:hAnsi="Times New Roman" w:eastAsia="宋体" w:cs="Times New Roman"/>
                <w:b/>
                <w:bCs/>
                <w:color w:val="auto"/>
                <w:kern w:val="0"/>
                <w:sz w:val="24"/>
              </w:rPr>
              <w:t>50</w:t>
            </w:r>
            <w:r>
              <w:rPr>
                <w:rFonts w:ascii="Times New Roman" w:hAnsi="Times New Roman" w:eastAsia="宋体" w:cs="Times New Roman"/>
                <w:b/>
                <w:bCs/>
                <w:color w:val="auto"/>
                <w:kern w:val="0"/>
                <w:sz w:val="24"/>
              </w:rPr>
              <w:t>分）</w:t>
            </w:r>
          </w:p>
        </w:tc>
        <w:tc>
          <w:tcPr>
            <w:tcW w:w="1672" w:type="dxa"/>
            <w:vMerge w:val="restart"/>
            <w:shd w:val="clear" w:color="auto" w:fill="auto"/>
            <w:vAlign w:val="center"/>
          </w:tcPr>
          <w:p w14:paraId="25E3580D">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2.1</w:t>
            </w:r>
            <w:r>
              <w:rPr>
                <w:rFonts w:ascii="Times New Roman" w:hAnsi="Times New Roman" w:eastAsia="宋体" w:cs="Times New Roman"/>
                <w:color w:val="auto"/>
                <w:kern w:val="0"/>
                <w:sz w:val="24"/>
              </w:rPr>
              <w:t>仓储面积（</w:t>
            </w:r>
            <w:r>
              <w:rPr>
                <w:rFonts w:hint="eastAsia" w:ascii="Times New Roman" w:hAnsi="Times New Roman" w:eastAsia="宋体" w:cs="Times New Roman"/>
                <w:color w:val="auto"/>
                <w:kern w:val="0"/>
                <w:sz w:val="24"/>
              </w:rPr>
              <w:t>10</w:t>
            </w:r>
            <w:r>
              <w:rPr>
                <w:rFonts w:ascii="Times New Roman" w:hAnsi="Times New Roman" w:eastAsia="宋体" w:cs="Times New Roman"/>
                <w:color w:val="auto"/>
                <w:kern w:val="0"/>
                <w:sz w:val="24"/>
              </w:rPr>
              <w:t>分）</w:t>
            </w:r>
          </w:p>
        </w:tc>
        <w:tc>
          <w:tcPr>
            <w:tcW w:w="3433" w:type="dxa"/>
            <w:shd w:val="clear" w:color="auto" w:fill="auto"/>
            <w:vAlign w:val="center"/>
          </w:tcPr>
          <w:p w14:paraId="074D3B98">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常温及阴凉库总面积：1000平方米，得2分；每超1000平方米加1分，</w:t>
            </w:r>
            <w:r>
              <w:rPr>
                <w:rFonts w:ascii="Times New Roman" w:hAnsi="Times New Roman" w:eastAsia="宋体" w:cs="Times New Roman"/>
                <w:color w:val="auto"/>
                <w:kern w:val="0"/>
                <w:sz w:val="24"/>
              </w:rPr>
              <w:t>最多不超过</w:t>
            </w:r>
            <w:r>
              <w:rPr>
                <w:rFonts w:hint="eastAsia" w:ascii="Times New Roman" w:hAnsi="Times New Roman" w:eastAsia="宋体" w:cs="Times New Roman"/>
                <w:color w:val="auto"/>
                <w:kern w:val="0"/>
                <w:sz w:val="24"/>
              </w:rPr>
              <w:t>7分。</w:t>
            </w:r>
          </w:p>
        </w:tc>
        <w:tc>
          <w:tcPr>
            <w:tcW w:w="733" w:type="dxa"/>
            <w:shd w:val="clear" w:color="auto" w:fill="auto"/>
            <w:vAlign w:val="center"/>
          </w:tcPr>
          <w:p w14:paraId="5393B6CA">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7</w:t>
            </w:r>
          </w:p>
        </w:tc>
        <w:tc>
          <w:tcPr>
            <w:tcW w:w="717" w:type="dxa"/>
            <w:shd w:val="clear" w:color="auto" w:fill="auto"/>
            <w:vAlign w:val="center"/>
          </w:tcPr>
          <w:p w14:paraId="2206A25D">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6AC7E228">
            <w:pPr>
              <w:widowControl/>
              <w:jc w:val="center"/>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　</w:t>
            </w:r>
          </w:p>
        </w:tc>
        <w:tc>
          <w:tcPr>
            <w:tcW w:w="2734" w:type="dxa"/>
            <w:vMerge w:val="restart"/>
            <w:shd w:val="clear" w:color="auto" w:fill="auto"/>
            <w:vAlign w:val="center"/>
          </w:tcPr>
          <w:p w14:paraId="7A279330">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 xml:space="preserve">（1）属于自有储存运输：仓库及相关设施设备的产权证明（市场监督部门公布的相关数据或产权证或有测绘资质的第三方机构出具的证明）、复印件加盖公章（原件备查，并备注日期） </w:t>
            </w:r>
          </w:p>
          <w:p w14:paraId="4E7093B9">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 xml:space="preserve">（2）属于委托储存运输：须提供受托方的上述相关材料 </w:t>
            </w:r>
          </w:p>
          <w:p w14:paraId="51B5933C">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（3）药品冷藏库不可另行租赁</w:t>
            </w:r>
          </w:p>
          <w:p w14:paraId="7CB0D67F">
            <w:pPr>
              <w:widowControl/>
              <w:jc w:val="left"/>
              <w:rPr>
                <w:rFonts w:ascii="Times New Roman" w:hAnsi="Times New Roman" w:eastAsia="宋体" w:cs="Times New Roman"/>
                <w:color w:val="auto"/>
                <w:kern w:val="0"/>
                <w:sz w:val="24"/>
              </w:rPr>
            </w:pPr>
          </w:p>
        </w:tc>
      </w:tr>
      <w:tr w14:paraId="26A4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075" w:type="dxa"/>
            <w:vMerge w:val="continue"/>
            <w:vAlign w:val="center"/>
          </w:tcPr>
          <w:p w14:paraId="29FFD41A">
            <w:pPr>
              <w:widowControl/>
              <w:jc w:val="left"/>
              <w:rPr>
                <w:rFonts w:ascii="Times New Roman" w:hAnsi="Times New Roman" w:eastAsia="宋体" w:cs="Times New Roman"/>
                <w:b/>
                <w:bCs/>
                <w:color w:val="auto"/>
                <w:kern w:val="0"/>
                <w:sz w:val="24"/>
              </w:rPr>
            </w:pPr>
          </w:p>
        </w:tc>
        <w:tc>
          <w:tcPr>
            <w:tcW w:w="1672" w:type="dxa"/>
            <w:vMerge w:val="continue"/>
            <w:vAlign w:val="center"/>
          </w:tcPr>
          <w:p w14:paraId="29551B34">
            <w:pPr>
              <w:widowControl/>
              <w:jc w:val="left"/>
              <w:rPr>
                <w:rFonts w:ascii="Times New Roman" w:hAnsi="Times New Roman" w:eastAsia="宋体" w:cs="Times New Roman"/>
                <w:color w:val="auto"/>
                <w:kern w:val="0"/>
                <w:sz w:val="24"/>
              </w:rPr>
            </w:pPr>
          </w:p>
        </w:tc>
        <w:tc>
          <w:tcPr>
            <w:tcW w:w="3433" w:type="dxa"/>
            <w:shd w:val="clear" w:color="auto" w:fill="auto"/>
            <w:vAlign w:val="center"/>
          </w:tcPr>
          <w:p w14:paraId="7AF335F8">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冷库面积：30立方米，得1分；每增加20立方米加0.5分，</w:t>
            </w:r>
            <w:r>
              <w:rPr>
                <w:rFonts w:ascii="Times New Roman" w:hAnsi="Times New Roman" w:eastAsia="宋体" w:cs="Times New Roman"/>
                <w:color w:val="auto"/>
                <w:kern w:val="0"/>
                <w:sz w:val="24"/>
              </w:rPr>
              <w:t>最多不超过</w:t>
            </w:r>
            <w:r>
              <w:rPr>
                <w:rFonts w:hint="eastAsia" w:ascii="Times New Roman" w:hAnsi="Times New Roman" w:eastAsia="宋体" w:cs="Times New Roman"/>
                <w:color w:val="auto"/>
                <w:kern w:val="0"/>
                <w:sz w:val="24"/>
              </w:rPr>
              <w:t>3分。</w:t>
            </w:r>
          </w:p>
        </w:tc>
        <w:tc>
          <w:tcPr>
            <w:tcW w:w="733" w:type="dxa"/>
            <w:shd w:val="clear" w:color="auto" w:fill="auto"/>
            <w:vAlign w:val="center"/>
          </w:tcPr>
          <w:p w14:paraId="2E43FF01">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3</w:t>
            </w:r>
          </w:p>
        </w:tc>
        <w:tc>
          <w:tcPr>
            <w:tcW w:w="717" w:type="dxa"/>
            <w:vAlign w:val="center"/>
          </w:tcPr>
          <w:p w14:paraId="5ACB206B">
            <w:pPr>
              <w:widowControl/>
              <w:jc w:val="center"/>
              <w:rPr>
                <w:rFonts w:hint="eastAsia" w:ascii="Times New Roman" w:hAnsi="Times New Roman" w:eastAsia="宋体" w:cs="Times New Roman"/>
                <w:color w:val="auto"/>
                <w:kern w:val="0"/>
                <w:sz w:val="24"/>
              </w:rPr>
            </w:pPr>
          </w:p>
        </w:tc>
        <w:tc>
          <w:tcPr>
            <w:tcW w:w="783" w:type="dxa"/>
            <w:vAlign w:val="center"/>
          </w:tcPr>
          <w:p w14:paraId="5872E2D8">
            <w:pPr>
              <w:widowControl/>
              <w:jc w:val="left"/>
              <w:rPr>
                <w:rFonts w:ascii="Times New Roman" w:hAnsi="Times New Roman" w:eastAsia="宋体" w:cs="Times New Roman"/>
                <w:color w:val="auto"/>
                <w:kern w:val="0"/>
                <w:sz w:val="24"/>
              </w:rPr>
            </w:pPr>
          </w:p>
        </w:tc>
        <w:tc>
          <w:tcPr>
            <w:tcW w:w="2734" w:type="dxa"/>
            <w:vMerge w:val="continue"/>
            <w:vAlign w:val="center"/>
          </w:tcPr>
          <w:p w14:paraId="34073418">
            <w:pPr>
              <w:widowControl/>
              <w:jc w:val="left"/>
              <w:rPr>
                <w:rFonts w:ascii="Times New Roman" w:hAnsi="Times New Roman" w:eastAsia="宋体" w:cs="Times New Roman"/>
                <w:color w:val="auto"/>
                <w:kern w:val="0"/>
                <w:sz w:val="24"/>
              </w:rPr>
            </w:pPr>
          </w:p>
        </w:tc>
      </w:tr>
      <w:tr w14:paraId="3C8A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075" w:type="dxa"/>
            <w:vMerge w:val="continue"/>
            <w:vAlign w:val="center"/>
          </w:tcPr>
          <w:p w14:paraId="27FA8BAA">
            <w:pPr>
              <w:widowControl/>
              <w:jc w:val="left"/>
              <w:rPr>
                <w:rFonts w:ascii="Times New Roman" w:hAnsi="Times New Roman" w:eastAsia="宋体" w:cs="Times New Roman"/>
                <w:b/>
                <w:bCs/>
                <w:color w:val="auto"/>
                <w:kern w:val="0"/>
                <w:sz w:val="24"/>
              </w:rPr>
            </w:pPr>
          </w:p>
        </w:tc>
        <w:tc>
          <w:tcPr>
            <w:tcW w:w="1672" w:type="dxa"/>
            <w:vMerge w:val="restart"/>
            <w:shd w:val="clear" w:color="auto" w:fill="auto"/>
            <w:vAlign w:val="center"/>
          </w:tcPr>
          <w:p w14:paraId="4E47A5BA">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2.2</w:t>
            </w:r>
            <w:r>
              <w:rPr>
                <w:rFonts w:hint="eastAsia" w:ascii="Times New Roman" w:hAnsi="Times New Roman" w:eastAsia="宋体" w:cs="Times New Roman"/>
                <w:color w:val="auto"/>
                <w:kern w:val="0"/>
                <w:sz w:val="24"/>
                <w:lang w:eastAsia="zh-CN"/>
              </w:rPr>
              <w:t>配送时限</w:t>
            </w:r>
            <w:r>
              <w:rPr>
                <w:rFonts w:hint="eastAsia" w:ascii="Times New Roman" w:hAnsi="Times New Roman" w:eastAsia="宋体" w:cs="Times New Roman"/>
                <w:color w:val="auto"/>
                <w:kern w:val="0"/>
                <w:sz w:val="24"/>
              </w:rPr>
              <w:t>（6分）</w:t>
            </w:r>
          </w:p>
        </w:tc>
        <w:tc>
          <w:tcPr>
            <w:tcW w:w="3433" w:type="dxa"/>
            <w:shd w:val="clear" w:color="auto" w:fill="auto"/>
            <w:vAlign w:val="center"/>
          </w:tcPr>
          <w:p w14:paraId="7C67306D">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lang w:eastAsia="zh-CN"/>
              </w:rPr>
              <w:t>常规订单</w:t>
            </w:r>
            <w:r>
              <w:rPr>
                <w:rFonts w:hint="eastAsia" w:ascii="Times New Roman" w:hAnsi="Times New Roman" w:eastAsia="宋体" w:cs="Times New Roman"/>
                <w:color w:val="auto"/>
                <w:kern w:val="0"/>
                <w:sz w:val="24"/>
                <w:lang w:val="en-US" w:eastAsia="zh-CN"/>
              </w:rPr>
              <w:t>48小时内送达，急救订单12小时内送达。</w:t>
            </w:r>
          </w:p>
        </w:tc>
        <w:tc>
          <w:tcPr>
            <w:tcW w:w="733" w:type="dxa"/>
            <w:shd w:val="clear" w:color="auto" w:fill="auto"/>
            <w:vAlign w:val="center"/>
          </w:tcPr>
          <w:p w14:paraId="02FB902B">
            <w:pPr>
              <w:widowControl/>
              <w:jc w:val="center"/>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w:t>
            </w:r>
          </w:p>
        </w:tc>
        <w:tc>
          <w:tcPr>
            <w:tcW w:w="717" w:type="dxa"/>
            <w:shd w:val="clear" w:color="auto" w:fill="auto"/>
            <w:vAlign w:val="center"/>
          </w:tcPr>
          <w:p w14:paraId="7FB073AC">
            <w:pPr>
              <w:widowControl/>
              <w:jc w:val="center"/>
              <w:rPr>
                <w:rFonts w:ascii="Times New Roman" w:hAnsi="Times New Roman" w:eastAsia="宋体" w:cs="Times New Roman"/>
                <w:color w:val="auto"/>
                <w:kern w:val="0"/>
                <w:sz w:val="24"/>
              </w:rPr>
            </w:pPr>
          </w:p>
        </w:tc>
        <w:tc>
          <w:tcPr>
            <w:tcW w:w="783" w:type="dxa"/>
            <w:shd w:val="clear" w:color="auto" w:fill="auto"/>
            <w:vAlign w:val="center"/>
          </w:tcPr>
          <w:p w14:paraId="73940A77">
            <w:pPr>
              <w:widowControl/>
              <w:jc w:val="center"/>
              <w:rPr>
                <w:rFonts w:ascii="Times New Roman" w:hAnsi="Times New Roman" w:eastAsia="宋体" w:cs="Times New Roman"/>
                <w:color w:val="auto"/>
                <w:kern w:val="0"/>
                <w:sz w:val="24"/>
              </w:rPr>
            </w:pPr>
          </w:p>
        </w:tc>
        <w:tc>
          <w:tcPr>
            <w:tcW w:w="2734" w:type="dxa"/>
            <w:vMerge w:val="continue"/>
            <w:shd w:val="clear" w:color="auto" w:fill="auto"/>
            <w:vAlign w:val="center"/>
          </w:tcPr>
          <w:p w14:paraId="7CEBF1BC">
            <w:pPr>
              <w:widowControl/>
              <w:jc w:val="left"/>
              <w:rPr>
                <w:rFonts w:ascii="Times New Roman" w:hAnsi="Times New Roman" w:eastAsia="宋体" w:cs="Times New Roman"/>
                <w:color w:val="auto"/>
                <w:kern w:val="0"/>
                <w:sz w:val="24"/>
              </w:rPr>
            </w:pPr>
          </w:p>
        </w:tc>
      </w:tr>
      <w:tr w14:paraId="4F94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075" w:type="dxa"/>
            <w:vMerge w:val="continue"/>
            <w:vAlign w:val="center"/>
          </w:tcPr>
          <w:p w14:paraId="033773EB">
            <w:pPr>
              <w:widowControl/>
              <w:jc w:val="left"/>
              <w:rPr>
                <w:rFonts w:ascii="Times New Roman" w:hAnsi="Times New Roman" w:eastAsia="宋体" w:cs="Times New Roman"/>
                <w:b/>
                <w:bCs/>
                <w:color w:val="auto"/>
                <w:kern w:val="0"/>
                <w:sz w:val="24"/>
              </w:rPr>
            </w:pPr>
          </w:p>
        </w:tc>
        <w:tc>
          <w:tcPr>
            <w:tcW w:w="1672" w:type="dxa"/>
            <w:vMerge w:val="continue"/>
            <w:shd w:val="clear" w:color="auto" w:fill="auto"/>
            <w:vAlign w:val="center"/>
          </w:tcPr>
          <w:p w14:paraId="62765A6D">
            <w:pPr>
              <w:widowControl/>
              <w:jc w:val="left"/>
              <w:rPr>
                <w:rFonts w:ascii="Times New Roman" w:hAnsi="Times New Roman" w:eastAsia="宋体" w:cs="Times New Roman"/>
                <w:color w:val="auto"/>
                <w:kern w:val="0"/>
                <w:sz w:val="24"/>
              </w:rPr>
            </w:pPr>
          </w:p>
        </w:tc>
        <w:tc>
          <w:tcPr>
            <w:tcW w:w="3433" w:type="dxa"/>
            <w:shd w:val="clear" w:color="auto" w:fill="auto"/>
            <w:vAlign w:val="center"/>
          </w:tcPr>
          <w:p w14:paraId="7CC0C049">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lang w:eastAsia="zh-CN"/>
              </w:rPr>
              <w:t>常规订单</w:t>
            </w:r>
            <w:r>
              <w:rPr>
                <w:rFonts w:hint="eastAsia" w:ascii="Times New Roman" w:hAnsi="Times New Roman" w:eastAsia="宋体" w:cs="Times New Roman"/>
                <w:color w:val="auto"/>
                <w:kern w:val="0"/>
                <w:sz w:val="24"/>
                <w:lang w:val="en-US" w:eastAsia="zh-CN"/>
              </w:rPr>
              <w:t>24小时内送达，急救订单8小时内送达。</w:t>
            </w:r>
          </w:p>
        </w:tc>
        <w:tc>
          <w:tcPr>
            <w:tcW w:w="733" w:type="dxa"/>
            <w:shd w:val="clear" w:color="auto" w:fill="auto"/>
            <w:vAlign w:val="center"/>
          </w:tcPr>
          <w:p w14:paraId="1D6389A2">
            <w:pPr>
              <w:widowControl/>
              <w:jc w:val="center"/>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w:t>
            </w:r>
          </w:p>
        </w:tc>
        <w:tc>
          <w:tcPr>
            <w:tcW w:w="717" w:type="dxa"/>
            <w:shd w:val="clear" w:color="auto" w:fill="auto"/>
            <w:vAlign w:val="center"/>
          </w:tcPr>
          <w:p w14:paraId="60F93D21">
            <w:pPr>
              <w:widowControl/>
              <w:jc w:val="center"/>
              <w:rPr>
                <w:rFonts w:ascii="Times New Roman" w:hAnsi="Times New Roman" w:eastAsia="宋体" w:cs="Times New Roman"/>
                <w:color w:val="auto"/>
                <w:kern w:val="0"/>
                <w:sz w:val="24"/>
              </w:rPr>
            </w:pPr>
          </w:p>
        </w:tc>
        <w:tc>
          <w:tcPr>
            <w:tcW w:w="783" w:type="dxa"/>
            <w:shd w:val="clear" w:color="auto" w:fill="auto"/>
            <w:vAlign w:val="center"/>
          </w:tcPr>
          <w:p w14:paraId="0175A247">
            <w:pPr>
              <w:widowControl/>
              <w:jc w:val="center"/>
              <w:rPr>
                <w:rFonts w:ascii="Times New Roman" w:hAnsi="Times New Roman" w:eastAsia="宋体" w:cs="Times New Roman"/>
                <w:color w:val="auto"/>
                <w:kern w:val="0"/>
                <w:sz w:val="24"/>
              </w:rPr>
            </w:pPr>
          </w:p>
        </w:tc>
        <w:tc>
          <w:tcPr>
            <w:tcW w:w="2734" w:type="dxa"/>
            <w:vMerge w:val="continue"/>
            <w:shd w:val="clear" w:color="auto" w:fill="auto"/>
            <w:vAlign w:val="center"/>
          </w:tcPr>
          <w:p w14:paraId="4BAFDBDC">
            <w:pPr>
              <w:widowControl/>
              <w:jc w:val="left"/>
              <w:rPr>
                <w:rFonts w:ascii="Times New Roman" w:hAnsi="Times New Roman" w:eastAsia="宋体" w:cs="Times New Roman"/>
                <w:color w:val="auto"/>
                <w:kern w:val="0"/>
                <w:sz w:val="24"/>
              </w:rPr>
            </w:pPr>
          </w:p>
        </w:tc>
      </w:tr>
      <w:tr w14:paraId="44D1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75" w:type="dxa"/>
            <w:vMerge w:val="continue"/>
            <w:vAlign w:val="center"/>
          </w:tcPr>
          <w:p w14:paraId="02FF487E">
            <w:pPr>
              <w:widowControl/>
              <w:jc w:val="left"/>
              <w:rPr>
                <w:rFonts w:ascii="Times New Roman" w:hAnsi="Times New Roman" w:eastAsia="宋体" w:cs="Times New Roman"/>
                <w:b/>
                <w:bCs/>
                <w:color w:val="auto"/>
                <w:kern w:val="0"/>
                <w:sz w:val="24"/>
              </w:rPr>
            </w:pPr>
          </w:p>
        </w:tc>
        <w:tc>
          <w:tcPr>
            <w:tcW w:w="1672" w:type="dxa"/>
            <w:vMerge w:val="continue"/>
            <w:shd w:val="clear" w:color="auto" w:fill="auto"/>
            <w:vAlign w:val="center"/>
          </w:tcPr>
          <w:p w14:paraId="4793C60D">
            <w:pPr>
              <w:widowControl/>
              <w:jc w:val="left"/>
              <w:rPr>
                <w:rFonts w:ascii="Times New Roman" w:hAnsi="Times New Roman" w:eastAsia="宋体" w:cs="Times New Roman"/>
                <w:color w:val="auto"/>
                <w:kern w:val="0"/>
                <w:sz w:val="24"/>
              </w:rPr>
            </w:pPr>
          </w:p>
        </w:tc>
        <w:tc>
          <w:tcPr>
            <w:tcW w:w="3433" w:type="dxa"/>
            <w:shd w:val="clear" w:color="auto" w:fill="auto"/>
            <w:vAlign w:val="center"/>
          </w:tcPr>
          <w:p w14:paraId="5C700BDE">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lang w:eastAsia="zh-CN"/>
              </w:rPr>
              <w:t>常规订单</w:t>
            </w:r>
            <w:r>
              <w:rPr>
                <w:rFonts w:hint="eastAsia" w:ascii="Times New Roman" w:hAnsi="Times New Roman" w:eastAsia="宋体" w:cs="Times New Roman"/>
                <w:color w:val="auto"/>
                <w:kern w:val="0"/>
                <w:sz w:val="24"/>
                <w:lang w:val="en-US" w:eastAsia="zh-CN"/>
              </w:rPr>
              <w:t>4小时内送达，急救订单2小时内送达。</w:t>
            </w:r>
          </w:p>
        </w:tc>
        <w:tc>
          <w:tcPr>
            <w:tcW w:w="733" w:type="dxa"/>
            <w:shd w:val="clear" w:color="auto" w:fill="auto"/>
            <w:vAlign w:val="center"/>
          </w:tcPr>
          <w:p w14:paraId="16C332BF">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6</w:t>
            </w:r>
          </w:p>
        </w:tc>
        <w:tc>
          <w:tcPr>
            <w:tcW w:w="717" w:type="dxa"/>
            <w:shd w:val="clear" w:color="auto" w:fill="auto"/>
            <w:vAlign w:val="center"/>
          </w:tcPr>
          <w:p w14:paraId="15809FCD">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7A81BFF2">
            <w:pPr>
              <w:widowControl/>
              <w:jc w:val="center"/>
              <w:rPr>
                <w:rFonts w:ascii="Times New Roman" w:hAnsi="Times New Roman" w:eastAsia="宋体" w:cs="Times New Roman"/>
                <w:color w:val="auto"/>
                <w:kern w:val="0"/>
                <w:sz w:val="24"/>
              </w:rPr>
            </w:pPr>
          </w:p>
        </w:tc>
        <w:tc>
          <w:tcPr>
            <w:tcW w:w="2734" w:type="dxa"/>
            <w:vMerge w:val="continue"/>
            <w:shd w:val="clear" w:color="auto" w:fill="auto"/>
            <w:vAlign w:val="center"/>
          </w:tcPr>
          <w:p w14:paraId="51683DD2">
            <w:pPr>
              <w:widowControl/>
              <w:jc w:val="left"/>
              <w:rPr>
                <w:rFonts w:ascii="Times New Roman" w:hAnsi="Times New Roman" w:eastAsia="宋体" w:cs="Times New Roman"/>
                <w:color w:val="auto"/>
                <w:kern w:val="0"/>
                <w:sz w:val="24"/>
              </w:rPr>
            </w:pPr>
          </w:p>
        </w:tc>
      </w:tr>
      <w:tr w14:paraId="18AC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75" w:type="dxa"/>
            <w:vMerge w:val="continue"/>
            <w:vAlign w:val="center"/>
          </w:tcPr>
          <w:p w14:paraId="312D8711">
            <w:pPr>
              <w:widowControl/>
              <w:jc w:val="left"/>
              <w:rPr>
                <w:rFonts w:ascii="Times New Roman" w:hAnsi="Times New Roman" w:eastAsia="宋体" w:cs="Times New Roman"/>
                <w:b/>
                <w:bCs/>
                <w:color w:val="auto"/>
                <w:kern w:val="0"/>
                <w:sz w:val="24"/>
              </w:rPr>
            </w:pPr>
          </w:p>
        </w:tc>
        <w:tc>
          <w:tcPr>
            <w:tcW w:w="1672" w:type="dxa"/>
            <w:vMerge w:val="restart"/>
            <w:shd w:val="clear" w:color="auto" w:fill="auto"/>
            <w:vAlign w:val="center"/>
          </w:tcPr>
          <w:p w14:paraId="036763C9">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2.3运输</w:t>
            </w:r>
            <w:r>
              <w:rPr>
                <w:rFonts w:ascii="Times New Roman" w:hAnsi="Times New Roman" w:eastAsia="宋体" w:cs="Times New Roman"/>
                <w:color w:val="auto"/>
                <w:kern w:val="0"/>
                <w:sz w:val="24"/>
              </w:rPr>
              <w:t>车辆</w:t>
            </w:r>
            <w:r>
              <w:rPr>
                <w:rFonts w:hint="eastAsia" w:ascii="Times New Roman" w:hAnsi="Times New Roman" w:eastAsia="宋体" w:cs="Times New Roman"/>
                <w:color w:val="auto"/>
                <w:kern w:val="0"/>
                <w:sz w:val="24"/>
              </w:rPr>
              <w:t>配备</w:t>
            </w:r>
            <w:r>
              <w:rPr>
                <w:rFonts w:ascii="Times New Roman" w:hAnsi="Times New Roman" w:eastAsia="宋体" w:cs="Times New Roman"/>
                <w:color w:val="auto"/>
                <w:kern w:val="0"/>
                <w:sz w:val="24"/>
              </w:rPr>
              <w:t>（</w:t>
            </w:r>
            <w:r>
              <w:rPr>
                <w:rFonts w:hint="eastAsia" w:ascii="Times New Roman" w:hAnsi="Times New Roman" w:eastAsia="宋体" w:cs="Times New Roman"/>
                <w:color w:val="auto"/>
                <w:kern w:val="0"/>
                <w:sz w:val="24"/>
              </w:rPr>
              <w:t>10</w:t>
            </w:r>
            <w:r>
              <w:rPr>
                <w:rFonts w:ascii="Times New Roman" w:hAnsi="Times New Roman" w:eastAsia="宋体" w:cs="Times New Roman"/>
                <w:color w:val="auto"/>
                <w:kern w:val="0"/>
                <w:sz w:val="24"/>
              </w:rPr>
              <w:t>分）</w:t>
            </w:r>
          </w:p>
        </w:tc>
        <w:tc>
          <w:tcPr>
            <w:tcW w:w="3433" w:type="dxa"/>
            <w:shd w:val="clear" w:color="auto" w:fill="auto"/>
            <w:vAlign w:val="center"/>
          </w:tcPr>
          <w:p w14:paraId="5D200290">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普通运输车辆（</w:t>
            </w:r>
            <w:r>
              <w:rPr>
                <w:rFonts w:hint="eastAsia" w:ascii="Times New Roman" w:hAnsi="Times New Roman" w:eastAsia="宋体" w:cs="Times New Roman"/>
                <w:color w:val="auto"/>
                <w:kern w:val="0"/>
                <w:sz w:val="24"/>
              </w:rPr>
              <w:t>2</w:t>
            </w:r>
            <w:r>
              <w:rPr>
                <w:rFonts w:ascii="Times New Roman" w:hAnsi="Times New Roman" w:eastAsia="宋体" w:cs="Times New Roman"/>
                <w:color w:val="auto"/>
                <w:kern w:val="0"/>
                <w:sz w:val="24"/>
              </w:rPr>
              <w:t>辆运输车</w:t>
            </w:r>
            <w:r>
              <w:rPr>
                <w:rFonts w:hint="eastAsia" w:ascii="Times New Roman" w:hAnsi="Times New Roman" w:eastAsia="宋体" w:cs="Times New Roman"/>
                <w:color w:val="auto"/>
                <w:kern w:val="0"/>
                <w:sz w:val="24"/>
              </w:rPr>
              <w:t>1</w:t>
            </w:r>
            <w:r>
              <w:rPr>
                <w:rFonts w:ascii="Times New Roman" w:hAnsi="Times New Roman" w:eastAsia="宋体" w:cs="Times New Roman"/>
                <w:color w:val="auto"/>
                <w:kern w:val="0"/>
                <w:sz w:val="24"/>
              </w:rPr>
              <w:t>分，每增加</w:t>
            </w:r>
            <w:r>
              <w:rPr>
                <w:rFonts w:hint="eastAsia" w:ascii="Times New Roman" w:hAnsi="Times New Roman" w:eastAsia="宋体" w:cs="Times New Roman"/>
                <w:color w:val="auto"/>
                <w:kern w:val="0"/>
                <w:sz w:val="24"/>
              </w:rPr>
              <w:t>1</w:t>
            </w:r>
            <w:r>
              <w:rPr>
                <w:rFonts w:ascii="Times New Roman" w:hAnsi="Times New Roman" w:eastAsia="宋体" w:cs="Times New Roman"/>
                <w:color w:val="auto"/>
                <w:kern w:val="0"/>
                <w:sz w:val="24"/>
              </w:rPr>
              <w:t>辆加1分，最多不超过</w:t>
            </w:r>
            <w:r>
              <w:rPr>
                <w:rFonts w:hint="eastAsia" w:ascii="Times New Roman" w:hAnsi="Times New Roman" w:eastAsia="宋体" w:cs="Times New Roman"/>
                <w:color w:val="auto"/>
                <w:kern w:val="0"/>
                <w:sz w:val="24"/>
              </w:rPr>
              <w:t>7</w:t>
            </w:r>
            <w:r>
              <w:rPr>
                <w:rFonts w:ascii="Times New Roman" w:hAnsi="Times New Roman" w:eastAsia="宋体" w:cs="Times New Roman"/>
                <w:color w:val="auto"/>
                <w:kern w:val="0"/>
                <w:sz w:val="24"/>
              </w:rPr>
              <w:t>分）</w:t>
            </w:r>
          </w:p>
        </w:tc>
        <w:tc>
          <w:tcPr>
            <w:tcW w:w="733" w:type="dxa"/>
            <w:shd w:val="clear" w:color="auto" w:fill="auto"/>
            <w:vAlign w:val="center"/>
          </w:tcPr>
          <w:p w14:paraId="27C88853">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7</w:t>
            </w:r>
          </w:p>
        </w:tc>
        <w:tc>
          <w:tcPr>
            <w:tcW w:w="717" w:type="dxa"/>
            <w:shd w:val="clear" w:color="auto" w:fill="auto"/>
            <w:vAlign w:val="center"/>
          </w:tcPr>
          <w:p w14:paraId="5213A13F">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0CDA3A00">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　</w:t>
            </w:r>
          </w:p>
        </w:tc>
        <w:tc>
          <w:tcPr>
            <w:tcW w:w="2734" w:type="dxa"/>
            <w:vMerge w:val="restart"/>
            <w:shd w:val="clear" w:color="auto" w:fill="auto"/>
            <w:vAlign w:val="center"/>
          </w:tcPr>
          <w:p w14:paraId="0C844A94">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（1）自有车辆或委托运输，需要提供行驶证</w:t>
            </w:r>
            <w:r>
              <w:rPr>
                <w:rFonts w:hint="eastAsia" w:ascii="Times New Roman" w:hAnsi="Times New Roman" w:eastAsia="宋体" w:cs="Times New Roman"/>
                <w:color w:val="auto"/>
                <w:kern w:val="0"/>
                <w:sz w:val="24"/>
              </w:rPr>
              <w:t>、</w:t>
            </w:r>
            <w:r>
              <w:rPr>
                <w:rFonts w:ascii="Times New Roman" w:hAnsi="Times New Roman" w:eastAsia="宋体" w:cs="Times New Roman"/>
                <w:color w:val="auto"/>
                <w:kern w:val="0"/>
                <w:sz w:val="24"/>
              </w:rPr>
              <w:t>车辆登记证等相关有效</w:t>
            </w:r>
            <w:r>
              <w:rPr>
                <w:rFonts w:hint="eastAsia" w:ascii="Times New Roman" w:hAnsi="Times New Roman" w:eastAsia="宋体" w:cs="Times New Roman"/>
                <w:color w:val="auto"/>
                <w:kern w:val="0"/>
                <w:sz w:val="24"/>
              </w:rPr>
              <w:t>证明</w:t>
            </w:r>
            <w:r>
              <w:rPr>
                <w:rFonts w:ascii="Times New Roman" w:hAnsi="Times New Roman" w:eastAsia="宋体" w:cs="Times New Roman"/>
                <w:color w:val="auto"/>
                <w:kern w:val="0"/>
                <w:sz w:val="24"/>
              </w:rPr>
              <w:t xml:space="preserve">。 </w:t>
            </w:r>
          </w:p>
          <w:p w14:paraId="17DA8872">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（2）冷藏车提供符合国家相关法律法规的验证报告（提交验证综述即可）。</w:t>
            </w:r>
          </w:p>
          <w:p w14:paraId="13F9BDCC">
            <w:pPr>
              <w:widowControl/>
              <w:ind w:left="240" w:hanging="240" w:hangingChars="100"/>
              <w:jc w:val="left"/>
              <w:rPr>
                <w:rFonts w:ascii="Times New Roman" w:hAnsi="Times New Roman" w:eastAsia="宋体" w:cs="Times New Roman"/>
                <w:color w:val="auto"/>
                <w:kern w:val="0"/>
                <w:sz w:val="24"/>
              </w:rPr>
            </w:pPr>
          </w:p>
        </w:tc>
      </w:tr>
      <w:tr w14:paraId="1A9D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75" w:type="dxa"/>
            <w:vMerge w:val="continue"/>
            <w:vAlign w:val="center"/>
          </w:tcPr>
          <w:p w14:paraId="07CE4C79">
            <w:pPr>
              <w:widowControl/>
              <w:jc w:val="left"/>
              <w:rPr>
                <w:rFonts w:ascii="Times New Roman" w:hAnsi="Times New Roman" w:eastAsia="宋体" w:cs="Times New Roman"/>
                <w:b/>
                <w:bCs/>
                <w:color w:val="auto"/>
                <w:kern w:val="0"/>
                <w:sz w:val="24"/>
              </w:rPr>
            </w:pPr>
          </w:p>
        </w:tc>
        <w:tc>
          <w:tcPr>
            <w:tcW w:w="1672" w:type="dxa"/>
            <w:vMerge w:val="continue"/>
            <w:vAlign w:val="center"/>
          </w:tcPr>
          <w:p w14:paraId="18F545A0">
            <w:pPr>
              <w:widowControl/>
              <w:jc w:val="left"/>
              <w:rPr>
                <w:rFonts w:ascii="Times New Roman" w:hAnsi="Times New Roman" w:eastAsia="宋体" w:cs="Times New Roman"/>
                <w:color w:val="auto"/>
                <w:kern w:val="0"/>
                <w:sz w:val="24"/>
              </w:rPr>
            </w:pPr>
          </w:p>
        </w:tc>
        <w:tc>
          <w:tcPr>
            <w:tcW w:w="3433" w:type="dxa"/>
            <w:shd w:val="clear" w:color="auto" w:fill="auto"/>
            <w:vAlign w:val="center"/>
          </w:tcPr>
          <w:p w14:paraId="0EDA5E81">
            <w:pPr>
              <w:widowControl/>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冷链运输车辆（1辆冷链运输车1分，每增加1辆加1分，最多不超过3分）</w:t>
            </w:r>
          </w:p>
        </w:tc>
        <w:tc>
          <w:tcPr>
            <w:tcW w:w="733" w:type="dxa"/>
            <w:shd w:val="clear" w:color="auto" w:fill="auto"/>
            <w:vAlign w:val="center"/>
          </w:tcPr>
          <w:p w14:paraId="00E1A613">
            <w:pPr>
              <w:widowControl/>
              <w:jc w:val="center"/>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w:t>
            </w:r>
          </w:p>
        </w:tc>
        <w:tc>
          <w:tcPr>
            <w:tcW w:w="717" w:type="dxa"/>
            <w:shd w:val="clear" w:color="auto" w:fill="auto"/>
            <w:vAlign w:val="center"/>
          </w:tcPr>
          <w:p w14:paraId="1A116F4C">
            <w:pPr>
              <w:widowControl/>
              <w:jc w:val="center"/>
              <w:rPr>
                <w:rFonts w:ascii="Times New Roman" w:hAnsi="Times New Roman" w:eastAsia="宋体" w:cs="Times New Roman"/>
                <w:color w:val="auto"/>
                <w:kern w:val="0"/>
                <w:sz w:val="24"/>
              </w:rPr>
            </w:pPr>
          </w:p>
        </w:tc>
        <w:tc>
          <w:tcPr>
            <w:tcW w:w="783" w:type="dxa"/>
            <w:shd w:val="clear" w:color="auto" w:fill="auto"/>
            <w:vAlign w:val="center"/>
          </w:tcPr>
          <w:p w14:paraId="18F6D3D3">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　</w:t>
            </w:r>
          </w:p>
        </w:tc>
        <w:tc>
          <w:tcPr>
            <w:tcW w:w="2734" w:type="dxa"/>
            <w:vMerge w:val="continue"/>
            <w:vAlign w:val="center"/>
          </w:tcPr>
          <w:p w14:paraId="4BB24F26">
            <w:pPr>
              <w:widowControl/>
              <w:jc w:val="left"/>
              <w:rPr>
                <w:rFonts w:ascii="Times New Roman" w:hAnsi="Times New Roman" w:eastAsia="宋体" w:cs="Times New Roman"/>
                <w:color w:val="auto"/>
                <w:kern w:val="0"/>
                <w:sz w:val="24"/>
              </w:rPr>
            </w:pPr>
          </w:p>
        </w:tc>
      </w:tr>
      <w:tr w14:paraId="15F2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75" w:type="dxa"/>
            <w:vMerge w:val="continue"/>
            <w:vAlign w:val="center"/>
          </w:tcPr>
          <w:p w14:paraId="44A17277">
            <w:pPr>
              <w:widowControl/>
              <w:jc w:val="left"/>
              <w:rPr>
                <w:rFonts w:ascii="Times New Roman" w:hAnsi="Times New Roman" w:eastAsia="宋体" w:cs="Times New Roman"/>
                <w:b/>
                <w:bCs/>
                <w:color w:val="auto"/>
                <w:kern w:val="0"/>
                <w:sz w:val="24"/>
              </w:rPr>
            </w:pPr>
          </w:p>
        </w:tc>
        <w:tc>
          <w:tcPr>
            <w:tcW w:w="1672" w:type="dxa"/>
            <w:shd w:val="clear" w:color="auto" w:fill="auto"/>
            <w:vAlign w:val="center"/>
          </w:tcPr>
          <w:p w14:paraId="5E6827AB">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2.4</w:t>
            </w:r>
            <w:r>
              <w:rPr>
                <w:rFonts w:ascii="Times New Roman" w:hAnsi="Times New Roman" w:eastAsia="宋体" w:cs="Times New Roman"/>
                <w:color w:val="auto"/>
                <w:kern w:val="0"/>
                <w:sz w:val="24"/>
              </w:rPr>
              <w:t>仓储现代化水平（</w:t>
            </w:r>
            <w:r>
              <w:rPr>
                <w:rFonts w:hint="eastAsia" w:ascii="Times New Roman" w:hAnsi="Times New Roman" w:eastAsia="宋体" w:cs="Times New Roman"/>
                <w:color w:val="auto"/>
                <w:kern w:val="0"/>
                <w:sz w:val="24"/>
              </w:rPr>
              <w:t>6</w:t>
            </w:r>
            <w:r>
              <w:rPr>
                <w:rFonts w:ascii="Times New Roman" w:hAnsi="Times New Roman" w:eastAsia="宋体" w:cs="Times New Roman"/>
                <w:color w:val="auto"/>
                <w:kern w:val="0"/>
                <w:sz w:val="24"/>
              </w:rPr>
              <w:t>分）</w:t>
            </w:r>
          </w:p>
        </w:tc>
        <w:tc>
          <w:tcPr>
            <w:tcW w:w="3433" w:type="dxa"/>
            <w:shd w:val="clear" w:color="auto" w:fill="auto"/>
            <w:vAlign w:val="center"/>
          </w:tcPr>
          <w:p w14:paraId="3782C716">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具备自动运送系统</w:t>
            </w:r>
            <w:r>
              <w:rPr>
                <w:rFonts w:hint="eastAsia" w:ascii="Times New Roman" w:hAnsi="Times New Roman" w:eastAsia="宋体" w:cs="Times New Roman"/>
                <w:color w:val="auto"/>
                <w:kern w:val="0"/>
                <w:sz w:val="24"/>
              </w:rPr>
              <w:t>（2分），</w:t>
            </w:r>
            <w:r>
              <w:rPr>
                <w:rFonts w:ascii="Times New Roman" w:hAnsi="Times New Roman" w:eastAsia="宋体" w:cs="Times New Roman"/>
                <w:color w:val="auto"/>
                <w:kern w:val="0"/>
                <w:sz w:val="24"/>
              </w:rPr>
              <w:t>具备电子标签自动分拣系统</w:t>
            </w:r>
            <w:r>
              <w:rPr>
                <w:rFonts w:hint="eastAsia" w:ascii="Times New Roman" w:hAnsi="Times New Roman" w:eastAsia="宋体" w:cs="Times New Roman"/>
                <w:color w:val="auto"/>
                <w:kern w:val="0"/>
                <w:sz w:val="24"/>
              </w:rPr>
              <w:t>（2分），采用自动化的货物存储和检索系统（2分），得6分。</w:t>
            </w:r>
          </w:p>
        </w:tc>
        <w:tc>
          <w:tcPr>
            <w:tcW w:w="733" w:type="dxa"/>
            <w:shd w:val="clear" w:color="auto" w:fill="auto"/>
            <w:vAlign w:val="center"/>
          </w:tcPr>
          <w:p w14:paraId="34E9D8E2">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6</w:t>
            </w:r>
          </w:p>
        </w:tc>
        <w:tc>
          <w:tcPr>
            <w:tcW w:w="717" w:type="dxa"/>
            <w:shd w:val="clear" w:color="auto" w:fill="auto"/>
            <w:vAlign w:val="center"/>
          </w:tcPr>
          <w:p w14:paraId="65582EB2">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27F2432B">
            <w:pPr>
              <w:widowControl/>
              <w:jc w:val="center"/>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　</w:t>
            </w:r>
          </w:p>
        </w:tc>
        <w:tc>
          <w:tcPr>
            <w:tcW w:w="2734" w:type="dxa"/>
            <w:shd w:val="clear" w:color="auto" w:fill="auto"/>
            <w:vAlign w:val="center"/>
          </w:tcPr>
          <w:p w14:paraId="0D54C5C0">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企业所在地药监局现场检查确认证明</w:t>
            </w:r>
          </w:p>
        </w:tc>
      </w:tr>
      <w:tr w14:paraId="2FF6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075" w:type="dxa"/>
            <w:vMerge w:val="continue"/>
            <w:vAlign w:val="center"/>
          </w:tcPr>
          <w:p w14:paraId="39B83757">
            <w:pPr>
              <w:widowControl/>
              <w:jc w:val="left"/>
              <w:rPr>
                <w:rFonts w:ascii="Times New Roman" w:hAnsi="Times New Roman" w:eastAsia="宋体" w:cs="Times New Roman"/>
                <w:b/>
                <w:bCs/>
                <w:color w:val="auto"/>
                <w:kern w:val="0"/>
                <w:sz w:val="24"/>
              </w:rPr>
            </w:pPr>
          </w:p>
        </w:tc>
        <w:tc>
          <w:tcPr>
            <w:tcW w:w="1672" w:type="dxa"/>
            <w:vMerge w:val="restart"/>
            <w:shd w:val="clear" w:color="auto" w:fill="auto"/>
            <w:vAlign w:val="center"/>
          </w:tcPr>
          <w:p w14:paraId="5119E943">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2.5</w:t>
            </w:r>
            <w:r>
              <w:rPr>
                <w:rFonts w:ascii="Times New Roman" w:hAnsi="Times New Roman" w:eastAsia="宋体" w:cs="Times New Roman"/>
                <w:color w:val="auto"/>
                <w:kern w:val="0"/>
                <w:sz w:val="24"/>
              </w:rPr>
              <w:t>药品管理信息化（</w:t>
            </w:r>
            <w:r>
              <w:rPr>
                <w:rFonts w:hint="eastAsia" w:ascii="Times New Roman" w:hAnsi="Times New Roman" w:eastAsia="宋体" w:cs="Times New Roman"/>
                <w:color w:val="auto"/>
                <w:kern w:val="0"/>
                <w:sz w:val="24"/>
              </w:rPr>
              <w:t>6</w:t>
            </w:r>
            <w:r>
              <w:rPr>
                <w:rFonts w:ascii="Times New Roman" w:hAnsi="Times New Roman" w:eastAsia="宋体" w:cs="Times New Roman"/>
                <w:color w:val="auto"/>
                <w:kern w:val="0"/>
                <w:sz w:val="24"/>
              </w:rPr>
              <w:t>分）</w:t>
            </w:r>
          </w:p>
        </w:tc>
        <w:tc>
          <w:tcPr>
            <w:tcW w:w="3433" w:type="dxa"/>
            <w:shd w:val="clear" w:color="auto" w:fill="auto"/>
            <w:vAlign w:val="center"/>
          </w:tcPr>
          <w:p w14:paraId="3DCF4698">
            <w:pPr>
              <w:widowControl/>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实现药品购进、储存、</w:t>
            </w:r>
            <w:r>
              <w:rPr>
                <w:rFonts w:hint="eastAsia" w:ascii="Times New Roman" w:hAnsi="Times New Roman" w:eastAsia="宋体" w:cs="Times New Roman"/>
                <w:color w:val="auto"/>
                <w:kern w:val="0"/>
                <w:sz w:val="24"/>
              </w:rPr>
              <w:t>出库</w:t>
            </w:r>
            <w:r>
              <w:rPr>
                <w:rFonts w:ascii="Times New Roman" w:hAnsi="Times New Roman" w:eastAsia="宋体" w:cs="Times New Roman"/>
                <w:color w:val="auto"/>
                <w:kern w:val="0"/>
                <w:sz w:val="24"/>
              </w:rPr>
              <w:t>、配送等全过程</w:t>
            </w:r>
            <w:r>
              <w:rPr>
                <w:rFonts w:hint="eastAsia" w:ascii="Times New Roman" w:hAnsi="Times New Roman" w:eastAsia="宋体" w:cs="Times New Roman"/>
                <w:color w:val="auto"/>
                <w:kern w:val="0"/>
                <w:sz w:val="24"/>
              </w:rPr>
              <w:t>实时追溯</w:t>
            </w:r>
            <w:r>
              <w:rPr>
                <w:rFonts w:ascii="Times New Roman" w:hAnsi="Times New Roman" w:eastAsia="宋体" w:cs="Times New Roman"/>
                <w:color w:val="auto"/>
                <w:kern w:val="0"/>
                <w:sz w:val="24"/>
              </w:rPr>
              <w:t>系统</w:t>
            </w:r>
            <w:r>
              <w:rPr>
                <w:rFonts w:hint="eastAsia" w:ascii="Times New Roman" w:hAnsi="Times New Roman" w:eastAsia="宋体" w:cs="Times New Roman"/>
                <w:color w:val="auto"/>
                <w:kern w:val="0"/>
                <w:sz w:val="24"/>
              </w:rPr>
              <w:t>的得4分</w:t>
            </w:r>
            <w:r>
              <w:rPr>
                <w:rFonts w:ascii="Times New Roman" w:hAnsi="Times New Roman" w:eastAsia="宋体" w:cs="Times New Roman"/>
                <w:color w:val="auto"/>
                <w:kern w:val="0"/>
                <w:sz w:val="24"/>
              </w:rPr>
              <w:t>。</w:t>
            </w:r>
            <w:r>
              <w:rPr>
                <w:rFonts w:hint="eastAsia" w:ascii="Times New Roman" w:hAnsi="Times New Roman" w:eastAsia="宋体" w:cs="Times New Roman"/>
                <w:color w:val="auto"/>
                <w:kern w:val="0"/>
                <w:sz w:val="24"/>
              </w:rPr>
              <w:t>每少一项过程监控扣1分。</w:t>
            </w:r>
          </w:p>
        </w:tc>
        <w:tc>
          <w:tcPr>
            <w:tcW w:w="733" w:type="dxa"/>
            <w:shd w:val="clear" w:color="auto" w:fill="auto"/>
            <w:vAlign w:val="center"/>
          </w:tcPr>
          <w:p w14:paraId="7356D839">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4</w:t>
            </w:r>
          </w:p>
        </w:tc>
        <w:tc>
          <w:tcPr>
            <w:tcW w:w="717" w:type="dxa"/>
            <w:shd w:val="clear" w:color="auto" w:fill="auto"/>
            <w:vAlign w:val="center"/>
          </w:tcPr>
          <w:p w14:paraId="2008A420">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0C5BBCA5">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　</w:t>
            </w:r>
          </w:p>
        </w:tc>
        <w:tc>
          <w:tcPr>
            <w:tcW w:w="2734" w:type="dxa"/>
            <w:vMerge w:val="restart"/>
            <w:shd w:val="clear" w:color="auto" w:fill="auto"/>
            <w:vAlign w:val="center"/>
          </w:tcPr>
          <w:p w14:paraId="65DE5077">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相关</w:t>
            </w:r>
            <w:r>
              <w:rPr>
                <w:rFonts w:hint="eastAsia" w:ascii="Times New Roman" w:hAnsi="Times New Roman" w:eastAsia="宋体" w:cs="Times New Roman"/>
                <w:color w:val="auto"/>
                <w:kern w:val="0"/>
                <w:sz w:val="24"/>
              </w:rPr>
              <w:t>佐证</w:t>
            </w:r>
            <w:r>
              <w:rPr>
                <w:rFonts w:ascii="Times New Roman" w:hAnsi="Times New Roman" w:eastAsia="宋体" w:cs="Times New Roman"/>
                <w:color w:val="auto"/>
                <w:kern w:val="0"/>
                <w:sz w:val="24"/>
              </w:rPr>
              <w:t>材料</w:t>
            </w:r>
            <w:r>
              <w:rPr>
                <w:rFonts w:hint="eastAsia" w:ascii="Times New Roman" w:hAnsi="Times New Roman" w:eastAsia="宋体" w:cs="Times New Roman"/>
                <w:color w:val="auto"/>
                <w:kern w:val="0"/>
                <w:sz w:val="24"/>
              </w:rPr>
              <w:t>（包括但不限于提供各信息系统板块界面截图），加盖企业公章。</w:t>
            </w:r>
          </w:p>
        </w:tc>
      </w:tr>
      <w:tr w14:paraId="38EB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75" w:type="dxa"/>
            <w:vMerge w:val="continue"/>
            <w:vAlign w:val="center"/>
          </w:tcPr>
          <w:p w14:paraId="45E47112">
            <w:pPr>
              <w:widowControl/>
              <w:jc w:val="left"/>
              <w:rPr>
                <w:rFonts w:ascii="Times New Roman" w:hAnsi="Times New Roman" w:eastAsia="宋体" w:cs="Times New Roman"/>
                <w:b/>
                <w:bCs/>
                <w:color w:val="auto"/>
                <w:kern w:val="0"/>
                <w:sz w:val="24"/>
              </w:rPr>
            </w:pPr>
          </w:p>
        </w:tc>
        <w:tc>
          <w:tcPr>
            <w:tcW w:w="1672" w:type="dxa"/>
            <w:vMerge w:val="continue"/>
            <w:vAlign w:val="center"/>
          </w:tcPr>
          <w:p w14:paraId="470C1C13">
            <w:pPr>
              <w:widowControl/>
              <w:jc w:val="left"/>
              <w:rPr>
                <w:rFonts w:ascii="Times New Roman" w:hAnsi="Times New Roman" w:eastAsia="宋体" w:cs="Times New Roman"/>
                <w:color w:val="auto"/>
                <w:kern w:val="0"/>
                <w:sz w:val="24"/>
              </w:rPr>
            </w:pPr>
          </w:p>
        </w:tc>
        <w:tc>
          <w:tcPr>
            <w:tcW w:w="3433" w:type="dxa"/>
            <w:shd w:val="clear" w:color="auto" w:fill="auto"/>
            <w:vAlign w:val="center"/>
          </w:tcPr>
          <w:p w14:paraId="40D6EA3B">
            <w:pPr>
              <w:widowControl/>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实现发票电子化</w:t>
            </w:r>
            <w:r>
              <w:rPr>
                <w:rFonts w:hint="eastAsia" w:ascii="Times New Roman" w:hAnsi="Times New Roman" w:eastAsia="宋体" w:cs="Times New Roman"/>
                <w:color w:val="auto"/>
                <w:kern w:val="0"/>
                <w:sz w:val="24"/>
              </w:rPr>
              <w:t>得2分</w:t>
            </w:r>
            <w:r>
              <w:rPr>
                <w:rFonts w:ascii="Times New Roman" w:hAnsi="Times New Roman" w:eastAsia="宋体" w:cs="Times New Roman"/>
                <w:color w:val="auto"/>
                <w:kern w:val="0"/>
                <w:sz w:val="24"/>
              </w:rPr>
              <w:t>。</w:t>
            </w:r>
          </w:p>
        </w:tc>
        <w:tc>
          <w:tcPr>
            <w:tcW w:w="733" w:type="dxa"/>
            <w:shd w:val="clear" w:color="auto" w:fill="auto"/>
            <w:vAlign w:val="center"/>
          </w:tcPr>
          <w:p w14:paraId="6E0B16A8">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2</w:t>
            </w:r>
          </w:p>
        </w:tc>
        <w:tc>
          <w:tcPr>
            <w:tcW w:w="717" w:type="dxa"/>
            <w:shd w:val="clear" w:color="auto" w:fill="auto"/>
            <w:vAlign w:val="center"/>
          </w:tcPr>
          <w:p w14:paraId="44A03AD7">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5D93BC98">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　</w:t>
            </w:r>
          </w:p>
        </w:tc>
        <w:tc>
          <w:tcPr>
            <w:tcW w:w="2734" w:type="dxa"/>
            <w:vMerge w:val="continue"/>
            <w:vAlign w:val="center"/>
          </w:tcPr>
          <w:p w14:paraId="33222705">
            <w:pPr>
              <w:widowControl/>
              <w:jc w:val="left"/>
              <w:rPr>
                <w:rFonts w:ascii="Times New Roman" w:hAnsi="Times New Roman" w:eastAsia="宋体" w:cs="Times New Roman"/>
                <w:color w:val="auto"/>
                <w:kern w:val="0"/>
                <w:sz w:val="24"/>
              </w:rPr>
            </w:pPr>
          </w:p>
        </w:tc>
      </w:tr>
      <w:tr w14:paraId="6A30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5" w:type="dxa"/>
            <w:vMerge w:val="continue"/>
            <w:vAlign w:val="center"/>
          </w:tcPr>
          <w:p w14:paraId="50F51E76">
            <w:pPr>
              <w:widowControl/>
              <w:jc w:val="left"/>
              <w:rPr>
                <w:rFonts w:ascii="Times New Roman" w:hAnsi="Times New Roman" w:eastAsia="宋体" w:cs="Times New Roman"/>
                <w:b/>
                <w:bCs/>
                <w:color w:val="auto"/>
                <w:kern w:val="0"/>
                <w:sz w:val="24"/>
              </w:rPr>
            </w:pPr>
          </w:p>
        </w:tc>
        <w:tc>
          <w:tcPr>
            <w:tcW w:w="1672" w:type="dxa"/>
            <w:vMerge w:val="restart"/>
            <w:shd w:val="clear" w:color="auto" w:fill="auto"/>
            <w:vAlign w:val="center"/>
          </w:tcPr>
          <w:p w14:paraId="4A5D3747">
            <w:pPr>
              <w:widowControl/>
              <w:jc w:val="center"/>
              <w:rPr>
                <w:rFonts w:ascii="Times New Roman" w:hAnsi="Times New Roman" w:eastAsia="宋体" w:cs="Times New Roman"/>
                <w:color w:val="auto"/>
                <w:kern w:val="0"/>
                <w:sz w:val="24"/>
              </w:rPr>
            </w:pPr>
          </w:p>
          <w:p w14:paraId="70135F6A">
            <w:pPr>
              <w:widowControl/>
              <w:jc w:val="center"/>
              <w:rPr>
                <w:rFonts w:ascii="Times New Roman" w:hAnsi="Times New Roman" w:eastAsia="宋体" w:cs="Times New Roman"/>
                <w:color w:val="auto"/>
                <w:kern w:val="0"/>
                <w:sz w:val="24"/>
              </w:rPr>
            </w:pPr>
          </w:p>
          <w:p w14:paraId="3EFAFA75">
            <w:pPr>
              <w:widowControl/>
              <w:jc w:val="center"/>
              <w:rPr>
                <w:rFonts w:ascii="Times New Roman" w:hAnsi="Times New Roman" w:eastAsia="宋体" w:cs="Times New Roman"/>
                <w:color w:val="auto"/>
                <w:kern w:val="0"/>
                <w:sz w:val="24"/>
              </w:rPr>
            </w:pPr>
          </w:p>
          <w:p w14:paraId="0CC0E8B6">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2.6药学技术人员配备</w:t>
            </w:r>
            <w:r>
              <w:rPr>
                <w:rFonts w:ascii="Times New Roman" w:hAnsi="Times New Roman" w:eastAsia="宋体" w:cs="Times New Roman"/>
                <w:color w:val="auto"/>
                <w:kern w:val="0"/>
                <w:sz w:val="24"/>
              </w:rPr>
              <w:t>（</w:t>
            </w:r>
            <w:r>
              <w:rPr>
                <w:rFonts w:hint="eastAsia" w:ascii="Times New Roman" w:hAnsi="Times New Roman" w:eastAsia="宋体" w:cs="Times New Roman"/>
                <w:color w:val="auto"/>
                <w:kern w:val="0"/>
                <w:sz w:val="24"/>
              </w:rPr>
              <w:t>7</w:t>
            </w:r>
            <w:r>
              <w:rPr>
                <w:rFonts w:ascii="Times New Roman" w:hAnsi="Times New Roman" w:eastAsia="宋体" w:cs="Times New Roman"/>
                <w:color w:val="auto"/>
                <w:kern w:val="0"/>
                <w:sz w:val="24"/>
              </w:rPr>
              <w:t>分）</w:t>
            </w:r>
          </w:p>
        </w:tc>
        <w:tc>
          <w:tcPr>
            <w:tcW w:w="3433" w:type="dxa"/>
            <w:shd w:val="clear" w:color="auto" w:fill="auto"/>
            <w:vAlign w:val="center"/>
          </w:tcPr>
          <w:p w14:paraId="6160DE36">
            <w:pPr>
              <w:widowControl/>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配备与经营规模相适应的一定数量的执业药师或依法经过资格认定的其他药学技术人员，占企业员工数10%及以上的得5分，每少2%减1分。</w:t>
            </w:r>
          </w:p>
        </w:tc>
        <w:tc>
          <w:tcPr>
            <w:tcW w:w="733" w:type="dxa"/>
            <w:shd w:val="clear" w:color="auto" w:fill="auto"/>
            <w:vAlign w:val="center"/>
          </w:tcPr>
          <w:p w14:paraId="13BB3748">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5</w:t>
            </w:r>
          </w:p>
        </w:tc>
        <w:tc>
          <w:tcPr>
            <w:tcW w:w="717" w:type="dxa"/>
            <w:shd w:val="clear" w:color="auto" w:fill="auto"/>
            <w:vAlign w:val="center"/>
          </w:tcPr>
          <w:p w14:paraId="0BBEFBA8">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5E600ED5">
            <w:pPr>
              <w:widowControl/>
              <w:jc w:val="center"/>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　</w:t>
            </w:r>
          </w:p>
        </w:tc>
        <w:tc>
          <w:tcPr>
            <w:tcW w:w="2734" w:type="dxa"/>
            <w:vMerge w:val="restart"/>
            <w:shd w:val="clear" w:color="auto" w:fill="auto"/>
            <w:vAlign w:val="center"/>
          </w:tcPr>
          <w:p w14:paraId="06F6D764">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以企业员工配备名单、药监局颁发的在有效期内的执业药师注册证、参保证明作为依据，并提供相关人员资质证明（学历证明、资质证书等）。</w:t>
            </w:r>
          </w:p>
        </w:tc>
      </w:tr>
      <w:tr w14:paraId="3680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vAlign w:val="center"/>
          </w:tcPr>
          <w:p w14:paraId="144D0149">
            <w:pPr>
              <w:widowControl/>
              <w:jc w:val="left"/>
              <w:rPr>
                <w:rFonts w:ascii="Times New Roman" w:hAnsi="Times New Roman" w:eastAsia="宋体" w:cs="Times New Roman"/>
                <w:b/>
                <w:bCs/>
                <w:color w:val="auto"/>
                <w:kern w:val="0"/>
                <w:sz w:val="24"/>
              </w:rPr>
            </w:pPr>
          </w:p>
        </w:tc>
        <w:tc>
          <w:tcPr>
            <w:tcW w:w="1672" w:type="dxa"/>
            <w:vMerge w:val="continue"/>
            <w:vAlign w:val="center"/>
          </w:tcPr>
          <w:p w14:paraId="06CA6D43">
            <w:pPr>
              <w:widowControl/>
              <w:jc w:val="left"/>
              <w:rPr>
                <w:rFonts w:ascii="Times New Roman" w:hAnsi="Times New Roman" w:eastAsia="宋体" w:cs="Times New Roman"/>
                <w:color w:val="auto"/>
                <w:kern w:val="0"/>
                <w:sz w:val="24"/>
              </w:rPr>
            </w:pPr>
          </w:p>
        </w:tc>
        <w:tc>
          <w:tcPr>
            <w:tcW w:w="3433" w:type="dxa"/>
            <w:shd w:val="clear" w:color="auto" w:fill="auto"/>
            <w:vAlign w:val="center"/>
          </w:tcPr>
          <w:p w14:paraId="1795B4DB">
            <w:pPr>
              <w:widowControl/>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质量管理负责人具有大学以上学历，且必须是执业药师，有3年以上药品经营质量管理工作经验，得2分。</w:t>
            </w:r>
          </w:p>
        </w:tc>
        <w:tc>
          <w:tcPr>
            <w:tcW w:w="733" w:type="dxa"/>
            <w:vMerge w:val="restart"/>
            <w:shd w:val="clear" w:color="auto" w:fill="auto"/>
            <w:vAlign w:val="center"/>
          </w:tcPr>
          <w:p w14:paraId="33189D26">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2</w:t>
            </w:r>
          </w:p>
        </w:tc>
        <w:tc>
          <w:tcPr>
            <w:tcW w:w="717" w:type="dxa"/>
            <w:vAlign w:val="center"/>
          </w:tcPr>
          <w:p w14:paraId="6FE23631">
            <w:pPr>
              <w:widowControl/>
              <w:jc w:val="center"/>
              <w:rPr>
                <w:rFonts w:hint="eastAsia" w:ascii="Times New Roman" w:hAnsi="Times New Roman" w:eastAsia="宋体" w:cs="Times New Roman"/>
                <w:color w:val="auto"/>
                <w:kern w:val="0"/>
                <w:sz w:val="24"/>
              </w:rPr>
            </w:pPr>
          </w:p>
        </w:tc>
        <w:tc>
          <w:tcPr>
            <w:tcW w:w="783" w:type="dxa"/>
            <w:vMerge w:val="restart"/>
            <w:vAlign w:val="center"/>
          </w:tcPr>
          <w:p w14:paraId="442A69C0">
            <w:pPr>
              <w:widowControl/>
              <w:jc w:val="left"/>
              <w:rPr>
                <w:rFonts w:ascii="Times New Roman" w:hAnsi="Times New Roman" w:eastAsia="宋体" w:cs="Times New Roman"/>
                <w:color w:val="auto"/>
                <w:kern w:val="0"/>
                <w:sz w:val="24"/>
              </w:rPr>
            </w:pPr>
          </w:p>
        </w:tc>
        <w:tc>
          <w:tcPr>
            <w:tcW w:w="2734" w:type="dxa"/>
            <w:vMerge w:val="continue"/>
            <w:vAlign w:val="center"/>
          </w:tcPr>
          <w:p w14:paraId="66DD6A18">
            <w:pPr>
              <w:widowControl/>
              <w:jc w:val="left"/>
              <w:rPr>
                <w:rFonts w:ascii="Times New Roman" w:hAnsi="Times New Roman" w:eastAsia="宋体" w:cs="Times New Roman"/>
                <w:color w:val="auto"/>
                <w:kern w:val="0"/>
                <w:sz w:val="24"/>
              </w:rPr>
            </w:pPr>
          </w:p>
        </w:tc>
      </w:tr>
      <w:tr w14:paraId="0C97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75" w:type="dxa"/>
            <w:vMerge w:val="continue"/>
            <w:vAlign w:val="center"/>
          </w:tcPr>
          <w:p w14:paraId="72EE9BC9">
            <w:pPr>
              <w:widowControl/>
              <w:jc w:val="left"/>
              <w:rPr>
                <w:rFonts w:ascii="Times New Roman" w:hAnsi="Times New Roman" w:eastAsia="宋体" w:cs="Times New Roman"/>
                <w:b/>
                <w:bCs/>
                <w:color w:val="auto"/>
                <w:kern w:val="0"/>
                <w:sz w:val="24"/>
              </w:rPr>
            </w:pPr>
          </w:p>
        </w:tc>
        <w:tc>
          <w:tcPr>
            <w:tcW w:w="1672" w:type="dxa"/>
            <w:vMerge w:val="continue"/>
            <w:vAlign w:val="center"/>
          </w:tcPr>
          <w:p w14:paraId="78A52BDE">
            <w:pPr>
              <w:widowControl/>
              <w:jc w:val="left"/>
              <w:rPr>
                <w:rFonts w:ascii="Times New Roman" w:hAnsi="Times New Roman" w:eastAsia="宋体" w:cs="Times New Roman"/>
                <w:color w:val="auto"/>
                <w:kern w:val="0"/>
                <w:sz w:val="24"/>
              </w:rPr>
            </w:pPr>
          </w:p>
        </w:tc>
        <w:tc>
          <w:tcPr>
            <w:tcW w:w="3433" w:type="dxa"/>
            <w:shd w:val="clear" w:color="auto" w:fill="auto"/>
            <w:vAlign w:val="center"/>
          </w:tcPr>
          <w:p w14:paraId="16240652">
            <w:pPr>
              <w:widowControl/>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具有销售麻精毒放特殊药品的企业，需配备具有药品监督管理部门出具的相关培训和考核合格证明的药学技术人员，</w:t>
            </w:r>
            <w:r>
              <w:rPr>
                <w:rFonts w:hint="eastAsia" w:ascii="Times New Roman" w:hAnsi="Times New Roman" w:eastAsia="宋体" w:cs="Times New Roman"/>
                <w:color w:val="auto"/>
                <w:kern w:val="0"/>
                <w:sz w:val="24"/>
                <w:lang w:eastAsia="zh-CN"/>
              </w:rPr>
              <w:t>得</w:t>
            </w:r>
            <w:r>
              <w:rPr>
                <w:rFonts w:hint="eastAsia" w:ascii="Times New Roman" w:hAnsi="Times New Roman" w:eastAsia="宋体" w:cs="Times New Roman"/>
                <w:color w:val="auto"/>
                <w:kern w:val="0"/>
                <w:sz w:val="24"/>
              </w:rPr>
              <w:t>2分。</w:t>
            </w:r>
          </w:p>
        </w:tc>
        <w:tc>
          <w:tcPr>
            <w:tcW w:w="733" w:type="dxa"/>
            <w:vMerge w:val="continue"/>
            <w:shd w:val="clear" w:color="auto" w:fill="auto"/>
            <w:vAlign w:val="center"/>
          </w:tcPr>
          <w:p w14:paraId="0C5A18A7">
            <w:pPr>
              <w:widowControl/>
              <w:jc w:val="center"/>
              <w:rPr>
                <w:rFonts w:ascii="Times New Roman" w:hAnsi="Times New Roman" w:eastAsia="宋体" w:cs="Times New Roman"/>
                <w:color w:val="auto"/>
                <w:kern w:val="0"/>
                <w:sz w:val="24"/>
              </w:rPr>
            </w:pPr>
          </w:p>
        </w:tc>
        <w:tc>
          <w:tcPr>
            <w:tcW w:w="717" w:type="dxa"/>
            <w:vAlign w:val="center"/>
          </w:tcPr>
          <w:p w14:paraId="64A38A9D">
            <w:pPr>
              <w:widowControl/>
              <w:jc w:val="center"/>
              <w:rPr>
                <w:rFonts w:ascii="Times New Roman" w:hAnsi="Times New Roman" w:eastAsia="宋体" w:cs="Times New Roman"/>
                <w:color w:val="auto"/>
                <w:kern w:val="0"/>
                <w:sz w:val="24"/>
              </w:rPr>
            </w:pPr>
          </w:p>
        </w:tc>
        <w:tc>
          <w:tcPr>
            <w:tcW w:w="783" w:type="dxa"/>
            <w:vMerge w:val="continue"/>
            <w:vAlign w:val="center"/>
          </w:tcPr>
          <w:p w14:paraId="272CDA73">
            <w:pPr>
              <w:widowControl/>
              <w:jc w:val="left"/>
              <w:rPr>
                <w:rFonts w:ascii="Times New Roman" w:hAnsi="Times New Roman" w:eastAsia="宋体" w:cs="Times New Roman"/>
                <w:color w:val="auto"/>
                <w:kern w:val="0"/>
                <w:sz w:val="24"/>
              </w:rPr>
            </w:pPr>
          </w:p>
        </w:tc>
        <w:tc>
          <w:tcPr>
            <w:tcW w:w="2734" w:type="dxa"/>
            <w:vMerge w:val="continue"/>
            <w:vAlign w:val="center"/>
          </w:tcPr>
          <w:p w14:paraId="49DD3D6C">
            <w:pPr>
              <w:widowControl/>
              <w:jc w:val="left"/>
              <w:rPr>
                <w:rFonts w:ascii="Times New Roman" w:hAnsi="Times New Roman" w:eastAsia="宋体" w:cs="Times New Roman"/>
                <w:color w:val="auto"/>
                <w:kern w:val="0"/>
                <w:sz w:val="24"/>
              </w:rPr>
            </w:pPr>
          </w:p>
        </w:tc>
      </w:tr>
      <w:tr w14:paraId="6152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75" w:type="dxa"/>
            <w:vMerge w:val="continue"/>
            <w:vAlign w:val="center"/>
          </w:tcPr>
          <w:p w14:paraId="5ECCA230">
            <w:pPr>
              <w:widowControl/>
              <w:jc w:val="left"/>
              <w:rPr>
                <w:rFonts w:ascii="Times New Roman" w:hAnsi="Times New Roman" w:eastAsia="宋体" w:cs="Times New Roman"/>
                <w:color w:val="auto"/>
                <w:kern w:val="0"/>
                <w:sz w:val="24"/>
              </w:rPr>
            </w:pPr>
          </w:p>
        </w:tc>
        <w:tc>
          <w:tcPr>
            <w:tcW w:w="1672" w:type="dxa"/>
            <w:shd w:val="clear" w:color="auto" w:fill="auto"/>
            <w:vAlign w:val="center"/>
          </w:tcPr>
          <w:p w14:paraId="57A4A9B5">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2.7</w:t>
            </w:r>
            <w:r>
              <w:rPr>
                <w:rFonts w:ascii="Times New Roman" w:hAnsi="Times New Roman" w:eastAsia="宋体" w:cs="Times New Roman"/>
                <w:color w:val="auto"/>
                <w:kern w:val="0"/>
                <w:sz w:val="24"/>
              </w:rPr>
              <w:t>配送</w:t>
            </w:r>
            <w:r>
              <w:rPr>
                <w:rFonts w:hint="eastAsia" w:ascii="Times New Roman" w:hAnsi="Times New Roman" w:eastAsia="宋体" w:cs="Times New Roman"/>
                <w:color w:val="auto"/>
                <w:kern w:val="0"/>
                <w:sz w:val="24"/>
              </w:rPr>
              <w:t>服务覆盖范围</w:t>
            </w:r>
            <w:r>
              <w:rPr>
                <w:rFonts w:ascii="Times New Roman" w:hAnsi="Times New Roman" w:eastAsia="宋体" w:cs="Times New Roman"/>
                <w:color w:val="auto"/>
                <w:kern w:val="0"/>
                <w:sz w:val="24"/>
              </w:rPr>
              <w:t>（</w:t>
            </w:r>
            <w:r>
              <w:rPr>
                <w:rFonts w:hint="eastAsia" w:ascii="Times New Roman" w:hAnsi="Times New Roman" w:eastAsia="宋体" w:cs="Times New Roman"/>
                <w:color w:val="auto"/>
                <w:kern w:val="0"/>
                <w:sz w:val="24"/>
              </w:rPr>
              <w:t>5</w:t>
            </w:r>
            <w:r>
              <w:rPr>
                <w:rFonts w:ascii="Times New Roman" w:hAnsi="Times New Roman" w:eastAsia="宋体" w:cs="Times New Roman"/>
                <w:color w:val="auto"/>
                <w:kern w:val="0"/>
                <w:sz w:val="24"/>
              </w:rPr>
              <w:t>分）</w:t>
            </w:r>
          </w:p>
        </w:tc>
        <w:tc>
          <w:tcPr>
            <w:tcW w:w="3433" w:type="dxa"/>
            <w:shd w:val="clear" w:color="auto" w:fill="auto"/>
            <w:vAlign w:val="center"/>
          </w:tcPr>
          <w:p w14:paraId="6336D10C">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配送广西区内医院情况：每配送2家医院得0.5分，最多不超过5分。</w:t>
            </w:r>
          </w:p>
        </w:tc>
        <w:tc>
          <w:tcPr>
            <w:tcW w:w="733" w:type="dxa"/>
            <w:shd w:val="clear" w:color="auto" w:fill="auto"/>
            <w:vAlign w:val="center"/>
          </w:tcPr>
          <w:p w14:paraId="66F05DBC">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5</w:t>
            </w:r>
          </w:p>
        </w:tc>
        <w:tc>
          <w:tcPr>
            <w:tcW w:w="717" w:type="dxa"/>
            <w:shd w:val="clear" w:color="auto" w:fill="auto"/>
            <w:vAlign w:val="center"/>
          </w:tcPr>
          <w:p w14:paraId="0B239431">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41014354">
            <w:pPr>
              <w:widowControl/>
              <w:jc w:val="center"/>
              <w:rPr>
                <w:rFonts w:ascii="Times New Roman" w:hAnsi="Times New Roman" w:eastAsia="宋体" w:cs="Times New Roman"/>
                <w:color w:val="auto"/>
                <w:kern w:val="0"/>
                <w:sz w:val="24"/>
              </w:rPr>
            </w:pPr>
          </w:p>
        </w:tc>
        <w:tc>
          <w:tcPr>
            <w:tcW w:w="2734" w:type="dxa"/>
            <w:shd w:val="clear" w:color="auto" w:fill="auto"/>
            <w:vAlign w:val="center"/>
          </w:tcPr>
          <w:p w14:paraId="5322A6A8">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提供</w:t>
            </w:r>
            <w:r>
              <w:rPr>
                <w:rFonts w:hint="eastAsia" w:ascii="Times New Roman" w:hAnsi="Times New Roman" w:eastAsia="宋体" w:cs="Times New Roman"/>
                <w:color w:val="auto"/>
                <w:kern w:val="0"/>
                <w:sz w:val="24"/>
              </w:rPr>
              <w:t>合作医院的</w:t>
            </w:r>
            <w:r>
              <w:rPr>
                <w:rFonts w:ascii="Times New Roman" w:hAnsi="Times New Roman" w:eastAsia="宋体" w:cs="Times New Roman"/>
                <w:color w:val="auto"/>
                <w:kern w:val="0"/>
                <w:sz w:val="24"/>
              </w:rPr>
              <w:t>购销合同</w:t>
            </w:r>
            <w:r>
              <w:rPr>
                <w:rFonts w:hint="eastAsia" w:ascii="Times New Roman" w:hAnsi="Times New Roman" w:eastAsia="宋体" w:cs="Times New Roman"/>
                <w:color w:val="auto"/>
                <w:kern w:val="0"/>
                <w:sz w:val="24"/>
              </w:rPr>
              <w:t>或相关协议</w:t>
            </w:r>
            <w:r>
              <w:rPr>
                <w:rFonts w:ascii="Times New Roman" w:hAnsi="Times New Roman" w:eastAsia="宋体" w:cs="Times New Roman"/>
                <w:color w:val="auto"/>
                <w:kern w:val="0"/>
                <w:sz w:val="24"/>
              </w:rPr>
              <w:t>复印件</w:t>
            </w:r>
            <w:r>
              <w:rPr>
                <w:rFonts w:hint="eastAsia" w:ascii="Times New Roman" w:hAnsi="Times New Roman" w:eastAsia="宋体" w:cs="Times New Roman"/>
                <w:color w:val="auto"/>
                <w:kern w:val="0"/>
                <w:sz w:val="24"/>
              </w:rPr>
              <w:t>（含盖章页）</w:t>
            </w:r>
            <w:r>
              <w:rPr>
                <w:rFonts w:ascii="Times New Roman" w:hAnsi="Times New Roman" w:eastAsia="宋体" w:cs="Times New Roman"/>
                <w:color w:val="auto"/>
                <w:kern w:val="0"/>
                <w:sz w:val="24"/>
              </w:rPr>
              <w:t>。</w:t>
            </w:r>
          </w:p>
        </w:tc>
      </w:tr>
      <w:tr w14:paraId="3577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075" w:type="dxa"/>
            <w:vMerge w:val="restart"/>
            <w:shd w:val="clear" w:color="auto" w:fill="auto"/>
            <w:vAlign w:val="center"/>
          </w:tcPr>
          <w:p w14:paraId="498DADA2">
            <w:pPr>
              <w:widowControl/>
              <w:jc w:val="left"/>
              <w:rPr>
                <w:rFonts w:ascii="Times New Roman" w:hAnsi="Times New Roman" w:eastAsia="宋体" w:cs="Times New Roman"/>
                <w:b/>
                <w:bCs/>
                <w:color w:val="auto"/>
                <w:kern w:val="0"/>
                <w:sz w:val="24"/>
              </w:rPr>
            </w:pPr>
            <w:r>
              <w:rPr>
                <w:rFonts w:hint="eastAsia" w:ascii="Times New Roman" w:hAnsi="Times New Roman" w:eastAsia="宋体" w:cs="Times New Roman"/>
                <w:b/>
                <w:bCs/>
                <w:color w:val="auto"/>
                <w:kern w:val="0"/>
                <w:sz w:val="24"/>
              </w:rPr>
              <w:t>3.</w:t>
            </w:r>
            <w:r>
              <w:rPr>
                <w:rFonts w:ascii="Times New Roman" w:hAnsi="Times New Roman" w:eastAsia="宋体" w:cs="Times New Roman"/>
                <w:b/>
                <w:bCs/>
                <w:color w:val="auto"/>
                <w:kern w:val="0"/>
                <w:sz w:val="24"/>
              </w:rPr>
              <w:t>药品质量与企业管理规范（</w:t>
            </w:r>
            <w:r>
              <w:rPr>
                <w:rFonts w:hint="eastAsia" w:ascii="Times New Roman" w:hAnsi="Times New Roman" w:eastAsia="宋体" w:cs="Times New Roman"/>
                <w:b/>
                <w:bCs/>
                <w:color w:val="auto"/>
                <w:kern w:val="0"/>
                <w:sz w:val="24"/>
                <w:lang w:val="en-US" w:eastAsia="zh-CN"/>
              </w:rPr>
              <w:t>15</w:t>
            </w:r>
            <w:r>
              <w:rPr>
                <w:rFonts w:ascii="Times New Roman" w:hAnsi="Times New Roman" w:eastAsia="宋体" w:cs="Times New Roman"/>
                <w:b/>
                <w:bCs/>
                <w:color w:val="auto"/>
                <w:kern w:val="0"/>
                <w:sz w:val="24"/>
              </w:rPr>
              <w:t>分）</w:t>
            </w:r>
          </w:p>
        </w:tc>
        <w:tc>
          <w:tcPr>
            <w:tcW w:w="1672" w:type="dxa"/>
            <w:shd w:val="clear" w:color="auto" w:fill="auto"/>
            <w:vAlign w:val="center"/>
          </w:tcPr>
          <w:p w14:paraId="062E2583">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3.1管理制度（6分）</w:t>
            </w:r>
          </w:p>
        </w:tc>
        <w:tc>
          <w:tcPr>
            <w:tcW w:w="3433" w:type="dxa"/>
            <w:shd w:val="clear" w:color="auto" w:fill="auto"/>
            <w:vAlign w:val="center"/>
          </w:tcPr>
          <w:p w14:paraId="77BFBAB6">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管理制度完备详细，药品采购、收货及验收、储存、出库复</w:t>
            </w:r>
            <w:r>
              <w:rPr>
                <w:rFonts w:ascii="Times New Roman" w:hAnsi="Times New Roman" w:eastAsia="宋体" w:cs="Times New Roman"/>
                <w:color w:val="auto"/>
                <w:kern w:val="0"/>
                <w:sz w:val="24"/>
              </w:rPr>
              <w:t>核、销售、运输过程的管理制度齐全，得</w:t>
            </w:r>
            <w:r>
              <w:rPr>
                <w:rFonts w:hint="eastAsia" w:ascii="Times New Roman" w:hAnsi="Times New Roman" w:eastAsia="宋体" w:cs="Times New Roman"/>
                <w:color w:val="auto"/>
                <w:kern w:val="0"/>
                <w:sz w:val="24"/>
              </w:rPr>
              <w:t>6</w:t>
            </w:r>
            <w:r>
              <w:rPr>
                <w:rFonts w:ascii="Times New Roman" w:hAnsi="Times New Roman" w:eastAsia="宋体" w:cs="Times New Roman"/>
                <w:color w:val="auto"/>
                <w:kern w:val="0"/>
                <w:sz w:val="24"/>
              </w:rPr>
              <w:t>分，每少一项制度扣1分</w:t>
            </w:r>
          </w:p>
        </w:tc>
        <w:tc>
          <w:tcPr>
            <w:tcW w:w="733" w:type="dxa"/>
            <w:shd w:val="clear" w:color="auto" w:fill="auto"/>
            <w:vAlign w:val="center"/>
          </w:tcPr>
          <w:p w14:paraId="1B7231A8">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6</w:t>
            </w:r>
          </w:p>
        </w:tc>
        <w:tc>
          <w:tcPr>
            <w:tcW w:w="717" w:type="dxa"/>
            <w:shd w:val="clear" w:color="auto" w:fill="auto"/>
            <w:vAlign w:val="center"/>
          </w:tcPr>
          <w:p w14:paraId="22310B68">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34748A8E">
            <w:pPr>
              <w:widowControl/>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　</w:t>
            </w:r>
          </w:p>
        </w:tc>
        <w:tc>
          <w:tcPr>
            <w:tcW w:w="2734" w:type="dxa"/>
            <w:shd w:val="clear" w:color="auto" w:fill="auto"/>
            <w:vAlign w:val="center"/>
          </w:tcPr>
          <w:p w14:paraId="4C060711">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提供所有环节相关管理制度目录，经营管理记录，盖章企业公章，不提供证明材料的不得分。</w:t>
            </w:r>
          </w:p>
        </w:tc>
      </w:tr>
      <w:tr w14:paraId="609E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075" w:type="dxa"/>
            <w:vMerge w:val="continue"/>
            <w:shd w:val="clear" w:color="auto" w:fill="auto"/>
            <w:vAlign w:val="center"/>
          </w:tcPr>
          <w:p w14:paraId="1E8AAE36">
            <w:pPr>
              <w:widowControl/>
              <w:jc w:val="left"/>
              <w:rPr>
                <w:rFonts w:ascii="Times New Roman" w:hAnsi="Times New Roman" w:eastAsia="宋体" w:cs="Times New Roman"/>
                <w:b/>
                <w:bCs/>
                <w:color w:val="auto"/>
                <w:kern w:val="0"/>
                <w:sz w:val="24"/>
              </w:rPr>
            </w:pPr>
          </w:p>
        </w:tc>
        <w:tc>
          <w:tcPr>
            <w:tcW w:w="1672" w:type="dxa"/>
            <w:shd w:val="clear" w:color="auto" w:fill="auto"/>
            <w:vAlign w:val="center"/>
          </w:tcPr>
          <w:p w14:paraId="079526F0">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3.2 药品运输</w:t>
            </w:r>
            <w:r>
              <w:rPr>
                <w:rFonts w:ascii="Times New Roman" w:hAnsi="Times New Roman" w:eastAsia="宋体" w:cs="Times New Roman"/>
                <w:color w:val="auto"/>
                <w:kern w:val="0"/>
                <w:sz w:val="24"/>
              </w:rPr>
              <w:t>储存环境条件控制（2分）</w:t>
            </w:r>
          </w:p>
        </w:tc>
        <w:tc>
          <w:tcPr>
            <w:tcW w:w="3433" w:type="dxa"/>
            <w:shd w:val="clear" w:color="auto" w:fill="auto"/>
            <w:vAlign w:val="center"/>
          </w:tcPr>
          <w:p w14:paraId="4DD89D19">
            <w:pPr>
              <w:widowControl/>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能严格控制运输和储存环境中的温湿度条件，具备冷链温度监控系统。</w:t>
            </w:r>
          </w:p>
        </w:tc>
        <w:tc>
          <w:tcPr>
            <w:tcW w:w="733" w:type="dxa"/>
            <w:shd w:val="clear" w:color="auto" w:fill="auto"/>
            <w:vAlign w:val="center"/>
          </w:tcPr>
          <w:p w14:paraId="3CA942D7">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2</w:t>
            </w:r>
          </w:p>
        </w:tc>
        <w:tc>
          <w:tcPr>
            <w:tcW w:w="717" w:type="dxa"/>
            <w:shd w:val="clear" w:color="auto" w:fill="auto"/>
            <w:vAlign w:val="center"/>
          </w:tcPr>
          <w:p w14:paraId="4473132A">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098941B3">
            <w:pPr>
              <w:widowControl/>
              <w:jc w:val="left"/>
              <w:rPr>
                <w:rFonts w:ascii="Times New Roman" w:hAnsi="Times New Roman" w:eastAsia="宋体" w:cs="Times New Roman"/>
                <w:color w:val="auto"/>
                <w:kern w:val="0"/>
                <w:sz w:val="24"/>
              </w:rPr>
            </w:pPr>
          </w:p>
        </w:tc>
        <w:tc>
          <w:tcPr>
            <w:tcW w:w="2734" w:type="dxa"/>
            <w:shd w:val="clear" w:color="auto" w:fill="auto"/>
            <w:vAlign w:val="center"/>
          </w:tcPr>
          <w:p w14:paraId="650B7DD1">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温度监控系统的证明材料。</w:t>
            </w:r>
          </w:p>
        </w:tc>
      </w:tr>
      <w:tr w14:paraId="074B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075" w:type="dxa"/>
            <w:vMerge w:val="continue"/>
            <w:vAlign w:val="center"/>
          </w:tcPr>
          <w:p w14:paraId="127EF12F">
            <w:pPr>
              <w:widowControl/>
              <w:jc w:val="left"/>
              <w:rPr>
                <w:rFonts w:ascii="Times New Roman" w:hAnsi="Times New Roman" w:eastAsia="宋体" w:cs="Times New Roman"/>
                <w:b/>
                <w:bCs/>
                <w:color w:val="auto"/>
                <w:kern w:val="0"/>
                <w:sz w:val="24"/>
              </w:rPr>
            </w:pPr>
          </w:p>
        </w:tc>
        <w:tc>
          <w:tcPr>
            <w:tcW w:w="1672" w:type="dxa"/>
            <w:shd w:val="clear" w:color="auto" w:fill="auto"/>
            <w:vAlign w:val="center"/>
          </w:tcPr>
          <w:p w14:paraId="252656E5">
            <w:pPr>
              <w:widowControl/>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 xml:space="preserve">3.3 药物警戒 </w:t>
            </w:r>
            <w:r>
              <w:rPr>
                <w:rFonts w:ascii="Times New Roman" w:hAnsi="Times New Roman" w:eastAsia="宋体" w:cs="Times New Roman"/>
                <w:color w:val="auto"/>
                <w:kern w:val="0"/>
                <w:sz w:val="24"/>
              </w:rPr>
              <w:t>（7分）</w:t>
            </w:r>
          </w:p>
          <w:p w14:paraId="44426383">
            <w:pPr>
              <w:widowControl/>
              <w:jc w:val="left"/>
              <w:rPr>
                <w:rFonts w:ascii="Times New Roman" w:hAnsi="Times New Roman" w:eastAsia="宋体" w:cs="Times New Roman"/>
                <w:color w:val="auto"/>
                <w:kern w:val="0"/>
                <w:sz w:val="24"/>
              </w:rPr>
            </w:pPr>
          </w:p>
        </w:tc>
        <w:tc>
          <w:tcPr>
            <w:tcW w:w="3433" w:type="dxa"/>
            <w:shd w:val="clear" w:color="auto" w:fill="auto"/>
            <w:vAlign w:val="center"/>
          </w:tcPr>
          <w:p w14:paraId="0E53763B">
            <w:pPr>
              <w:widowControl/>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有药品安全信息（药品不良反应、药品质量问题等）的收集记录（2分）；有药物警戒活动的记录、文档管理（2分）；有药品召回管理的流程制度（2分）；有与药品上市许可持有人、医疗机构、药品生产企业等协同开展药物警戒工作的记录（1分）。</w:t>
            </w:r>
          </w:p>
        </w:tc>
        <w:tc>
          <w:tcPr>
            <w:tcW w:w="733" w:type="dxa"/>
            <w:shd w:val="clear" w:color="auto" w:fill="auto"/>
            <w:vAlign w:val="center"/>
          </w:tcPr>
          <w:p w14:paraId="40C06657">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7</w:t>
            </w:r>
          </w:p>
        </w:tc>
        <w:tc>
          <w:tcPr>
            <w:tcW w:w="717" w:type="dxa"/>
            <w:shd w:val="clear" w:color="auto" w:fill="auto"/>
            <w:vAlign w:val="center"/>
          </w:tcPr>
          <w:p w14:paraId="5EAC5AE2">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3278422E">
            <w:pPr>
              <w:widowControl/>
              <w:jc w:val="left"/>
              <w:rPr>
                <w:rFonts w:ascii="Times New Roman" w:hAnsi="Times New Roman" w:eastAsia="宋体" w:cs="Times New Roman"/>
                <w:color w:val="auto"/>
                <w:kern w:val="0"/>
                <w:sz w:val="24"/>
              </w:rPr>
            </w:pPr>
          </w:p>
        </w:tc>
        <w:tc>
          <w:tcPr>
            <w:tcW w:w="2734" w:type="dxa"/>
            <w:shd w:val="clear" w:color="auto" w:fill="auto"/>
            <w:vAlign w:val="center"/>
          </w:tcPr>
          <w:p w14:paraId="267169CC">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逐条提供证明材料。</w:t>
            </w:r>
          </w:p>
        </w:tc>
      </w:tr>
      <w:tr w14:paraId="0344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075" w:type="dxa"/>
            <w:vMerge w:val="restart"/>
            <w:vAlign w:val="center"/>
          </w:tcPr>
          <w:p w14:paraId="264C6D71">
            <w:pPr>
              <w:widowControl/>
              <w:jc w:val="left"/>
              <w:rPr>
                <w:rFonts w:ascii="Times New Roman" w:hAnsi="Times New Roman" w:eastAsia="宋体" w:cs="Times New Roman"/>
                <w:b/>
                <w:bCs/>
                <w:color w:val="auto"/>
                <w:kern w:val="0"/>
                <w:sz w:val="24"/>
              </w:rPr>
            </w:pPr>
            <w:r>
              <w:rPr>
                <w:rFonts w:hint="eastAsia" w:ascii="Times New Roman" w:hAnsi="Times New Roman" w:eastAsia="宋体" w:cs="Times New Roman"/>
                <w:b/>
                <w:bCs/>
                <w:color w:val="auto"/>
                <w:kern w:val="0"/>
                <w:sz w:val="24"/>
              </w:rPr>
              <w:t>4.企业</w:t>
            </w:r>
            <w:r>
              <w:rPr>
                <w:rFonts w:ascii="Times New Roman" w:hAnsi="Times New Roman" w:eastAsia="宋体" w:cs="Times New Roman"/>
                <w:b/>
                <w:bCs/>
                <w:color w:val="auto"/>
                <w:kern w:val="0"/>
                <w:sz w:val="24"/>
              </w:rPr>
              <w:t>应急保障能力（</w:t>
            </w:r>
            <w:r>
              <w:rPr>
                <w:rFonts w:hint="eastAsia" w:ascii="Times New Roman" w:hAnsi="Times New Roman" w:eastAsia="宋体" w:cs="Times New Roman"/>
                <w:b/>
                <w:bCs/>
                <w:color w:val="auto"/>
                <w:kern w:val="0"/>
                <w:sz w:val="24"/>
              </w:rPr>
              <w:t>10</w:t>
            </w:r>
            <w:r>
              <w:rPr>
                <w:rFonts w:ascii="Times New Roman" w:hAnsi="Times New Roman" w:eastAsia="宋体" w:cs="Times New Roman"/>
                <w:b/>
                <w:bCs/>
                <w:color w:val="auto"/>
                <w:kern w:val="0"/>
                <w:sz w:val="24"/>
              </w:rPr>
              <w:t>分）</w:t>
            </w:r>
          </w:p>
        </w:tc>
        <w:tc>
          <w:tcPr>
            <w:tcW w:w="5105" w:type="dxa"/>
            <w:gridSpan w:val="2"/>
            <w:shd w:val="clear" w:color="auto" w:fill="auto"/>
            <w:vAlign w:val="center"/>
          </w:tcPr>
          <w:p w14:paraId="01BD6A0D">
            <w:pPr>
              <w:widowControl/>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提供抢救药</w:t>
            </w:r>
            <w:r>
              <w:rPr>
                <w:rFonts w:hint="eastAsia" w:ascii="Times New Roman" w:hAnsi="Times New Roman" w:eastAsia="宋体" w:cs="Times New Roman"/>
                <w:color w:val="auto"/>
                <w:kern w:val="0"/>
                <w:sz w:val="24"/>
                <w:lang w:eastAsia="zh-CN"/>
              </w:rPr>
              <w:t>品</w:t>
            </w:r>
            <w:r>
              <w:rPr>
                <w:rFonts w:hint="eastAsia" w:ascii="Times New Roman" w:hAnsi="Times New Roman" w:eastAsia="宋体" w:cs="Times New Roman"/>
                <w:color w:val="auto"/>
                <w:kern w:val="0"/>
                <w:sz w:val="24"/>
              </w:rPr>
              <w:t>、重大疫情、自然灾害及突发公共卫生事件所需的药品或其他特殊加急药品的应对措施/方案，得2分。</w:t>
            </w:r>
          </w:p>
        </w:tc>
        <w:tc>
          <w:tcPr>
            <w:tcW w:w="733" w:type="dxa"/>
            <w:shd w:val="clear" w:color="auto" w:fill="auto"/>
            <w:vAlign w:val="center"/>
          </w:tcPr>
          <w:p w14:paraId="4F3455D8">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2</w:t>
            </w:r>
          </w:p>
        </w:tc>
        <w:tc>
          <w:tcPr>
            <w:tcW w:w="717" w:type="dxa"/>
            <w:shd w:val="clear" w:color="auto" w:fill="auto"/>
            <w:vAlign w:val="center"/>
          </w:tcPr>
          <w:p w14:paraId="2C62D06C">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6E48661B">
            <w:pPr>
              <w:widowControl/>
              <w:jc w:val="left"/>
              <w:rPr>
                <w:rFonts w:ascii="Times New Roman" w:hAnsi="Times New Roman" w:eastAsia="宋体" w:cs="Times New Roman"/>
                <w:color w:val="auto"/>
                <w:kern w:val="0"/>
                <w:sz w:val="24"/>
              </w:rPr>
            </w:pPr>
          </w:p>
        </w:tc>
        <w:tc>
          <w:tcPr>
            <w:tcW w:w="2734" w:type="dxa"/>
            <w:vMerge w:val="restart"/>
            <w:shd w:val="clear" w:color="auto" w:fill="auto"/>
            <w:vAlign w:val="center"/>
          </w:tcPr>
          <w:p w14:paraId="3ACB92FC">
            <w:pPr>
              <w:widowControl/>
              <w:jc w:val="left"/>
              <w:rPr>
                <w:rFonts w:ascii="Times New Roman" w:hAnsi="Times New Roman" w:eastAsia="宋体" w:cs="Times New Roman"/>
                <w:color w:val="auto"/>
                <w:kern w:val="0"/>
                <w:sz w:val="24"/>
              </w:rPr>
            </w:pPr>
          </w:p>
          <w:p w14:paraId="2F1626DA">
            <w:pPr>
              <w:widowControl/>
              <w:jc w:val="left"/>
              <w:rPr>
                <w:rFonts w:ascii="Times New Roman" w:hAnsi="Times New Roman" w:eastAsia="宋体" w:cs="Times New Roman"/>
                <w:color w:val="auto"/>
                <w:kern w:val="0"/>
                <w:sz w:val="24"/>
              </w:rPr>
            </w:pPr>
          </w:p>
          <w:p w14:paraId="57B3F39B">
            <w:pPr>
              <w:widowControl/>
              <w:jc w:val="left"/>
              <w:rPr>
                <w:rFonts w:ascii="Times New Roman" w:hAnsi="Times New Roman" w:eastAsia="宋体" w:cs="Times New Roman"/>
                <w:color w:val="auto"/>
                <w:kern w:val="0"/>
                <w:sz w:val="24"/>
              </w:rPr>
            </w:pPr>
          </w:p>
          <w:p w14:paraId="0FE6D0E9">
            <w:pPr>
              <w:widowControl/>
              <w:jc w:val="left"/>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提供有效的证明材料作为得分依据；</w:t>
            </w:r>
            <w:r>
              <w:rPr>
                <w:rFonts w:ascii="Times New Roman" w:hAnsi="Times New Roman" w:eastAsia="宋体" w:cs="Times New Roman"/>
                <w:color w:val="auto"/>
                <w:kern w:val="0"/>
                <w:sz w:val="24"/>
              </w:rPr>
              <w:t>相关应急预案</w:t>
            </w:r>
            <w:r>
              <w:rPr>
                <w:rFonts w:hint="eastAsia" w:ascii="Times New Roman" w:hAnsi="Times New Roman" w:eastAsia="宋体" w:cs="Times New Roman"/>
                <w:color w:val="auto"/>
                <w:kern w:val="0"/>
                <w:sz w:val="24"/>
              </w:rPr>
              <w:t>，应包含所有必要的组成部分，如组织结构、风险评估、预防措施、应急响应流程、资源调配、培训和演练计划等。</w:t>
            </w:r>
          </w:p>
        </w:tc>
      </w:tr>
      <w:tr w14:paraId="1EF8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75" w:type="dxa"/>
            <w:vMerge w:val="continue"/>
            <w:vAlign w:val="center"/>
          </w:tcPr>
          <w:p w14:paraId="39DFDFD6">
            <w:pPr>
              <w:widowControl/>
              <w:jc w:val="left"/>
              <w:rPr>
                <w:rFonts w:ascii="Times New Roman" w:hAnsi="Times New Roman" w:eastAsia="宋体" w:cs="Times New Roman"/>
                <w:b/>
                <w:bCs/>
                <w:color w:val="auto"/>
                <w:kern w:val="0"/>
                <w:sz w:val="24"/>
              </w:rPr>
            </w:pPr>
          </w:p>
        </w:tc>
        <w:tc>
          <w:tcPr>
            <w:tcW w:w="5105" w:type="dxa"/>
            <w:gridSpan w:val="2"/>
            <w:shd w:val="clear" w:color="auto" w:fill="auto"/>
            <w:vAlign w:val="center"/>
          </w:tcPr>
          <w:p w14:paraId="605CB02B">
            <w:pPr>
              <w:widowControl/>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对于医院订单不能满足配送供应时有应对措施/方案，得2分。</w:t>
            </w:r>
          </w:p>
        </w:tc>
        <w:tc>
          <w:tcPr>
            <w:tcW w:w="733" w:type="dxa"/>
            <w:shd w:val="clear" w:color="auto" w:fill="auto"/>
            <w:vAlign w:val="center"/>
          </w:tcPr>
          <w:p w14:paraId="184B659F">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2</w:t>
            </w:r>
          </w:p>
        </w:tc>
        <w:tc>
          <w:tcPr>
            <w:tcW w:w="717" w:type="dxa"/>
            <w:shd w:val="clear" w:color="auto" w:fill="auto"/>
            <w:vAlign w:val="center"/>
          </w:tcPr>
          <w:p w14:paraId="7E244401">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069B901F">
            <w:pPr>
              <w:widowControl/>
              <w:jc w:val="left"/>
              <w:rPr>
                <w:rFonts w:ascii="Times New Roman" w:hAnsi="Times New Roman" w:eastAsia="宋体" w:cs="Times New Roman"/>
                <w:color w:val="auto"/>
                <w:kern w:val="0"/>
                <w:sz w:val="24"/>
              </w:rPr>
            </w:pPr>
          </w:p>
        </w:tc>
        <w:tc>
          <w:tcPr>
            <w:tcW w:w="2734" w:type="dxa"/>
            <w:vMerge w:val="continue"/>
            <w:shd w:val="clear" w:color="auto" w:fill="auto"/>
            <w:vAlign w:val="center"/>
          </w:tcPr>
          <w:p w14:paraId="3D088316">
            <w:pPr>
              <w:widowControl/>
              <w:jc w:val="left"/>
              <w:rPr>
                <w:rFonts w:ascii="Times New Roman" w:hAnsi="Times New Roman" w:eastAsia="宋体" w:cs="Times New Roman"/>
                <w:color w:val="auto"/>
                <w:kern w:val="0"/>
                <w:sz w:val="24"/>
              </w:rPr>
            </w:pPr>
          </w:p>
        </w:tc>
      </w:tr>
      <w:tr w14:paraId="40BA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75" w:type="dxa"/>
            <w:vMerge w:val="continue"/>
            <w:vAlign w:val="center"/>
          </w:tcPr>
          <w:p w14:paraId="58C65D0A">
            <w:pPr>
              <w:widowControl/>
              <w:jc w:val="left"/>
              <w:rPr>
                <w:rFonts w:ascii="Times New Roman" w:hAnsi="Times New Roman" w:eastAsia="宋体" w:cs="Times New Roman"/>
                <w:b/>
                <w:bCs/>
                <w:color w:val="auto"/>
                <w:kern w:val="0"/>
                <w:sz w:val="24"/>
              </w:rPr>
            </w:pPr>
          </w:p>
        </w:tc>
        <w:tc>
          <w:tcPr>
            <w:tcW w:w="5105" w:type="dxa"/>
            <w:gridSpan w:val="2"/>
            <w:shd w:val="clear" w:color="auto" w:fill="auto"/>
            <w:vAlign w:val="center"/>
          </w:tcPr>
          <w:p w14:paraId="31BC573A">
            <w:pPr>
              <w:widowControl/>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本地药品战略物资储备单位，得2分。</w:t>
            </w:r>
          </w:p>
        </w:tc>
        <w:tc>
          <w:tcPr>
            <w:tcW w:w="733" w:type="dxa"/>
            <w:shd w:val="clear" w:color="auto" w:fill="auto"/>
            <w:vAlign w:val="center"/>
          </w:tcPr>
          <w:p w14:paraId="068B819B">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2</w:t>
            </w:r>
          </w:p>
        </w:tc>
        <w:tc>
          <w:tcPr>
            <w:tcW w:w="717" w:type="dxa"/>
            <w:shd w:val="clear" w:color="auto" w:fill="auto"/>
            <w:vAlign w:val="center"/>
          </w:tcPr>
          <w:p w14:paraId="7DF54963">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0CCC9D9B">
            <w:pPr>
              <w:widowControl/>
              <w:jc w:val="left"/>
              <w:rPr>
                <w:rFonts w:ascii="Times New Roman" w:hAnsi="Times New Roman" w:eastAsia="宋体" w:cs="Times New Roman"/>
                <w:color w:val="auto"/>
                <w:kern w:val="0"/>
                <w:sz w:val="24"/>
              </w:rPr>
            </w:pPr>
          </w:p>
        </w:tc>
        <w:tc>
          <w:tcPr>
            <w:tcW w:w="2734" w:type="dxa"/>
            <w:vMerge w:val="continue"/>
            <w:shd w:val="clear" w:color="auto" w:fill="auto"/>
            <w:vAlign w:val="center"/>
          </w:tcPr>
          <w:p w14:paraId="4ED0C46C">
            <w:pPr>
              <w:widowControl/>
              <w:jc w:val="left"/>
              <w:rPr>
                <w:rFonts w:ascii="Times New Roman" w:hAnsi="Times New Roman" w:eastAsia="宋体" w:cs="Times New Roman"/>
                <w:color w:val="auto"/>
                <w:kern w:val="0"/>
                <w:sz w:val="24"/>
              </w:rPr>
            </w:pPr>
          </w:p>
        </w:tc>
      </w:tr>
      <w:tr w14:paraId="772A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75" w:type="dxa"/>
            <w:vMerge w:val="continue"/>
            <w:vAlign w:val="center"/>
          </w:tcPr>
          <w:p w14:paraId="0B4A7E77">
            <w:pPr>
              <w:widowControl/>
              <w:jc w:val="left"/>
              <w:rPr>
                <w:rFonts w:ascii="Times New Roman" w:hAnsi="Times New Roman" w:eastAsia="宋体" w:cs="Times New Roman"/>
                <w:b/>
                <w:bCs/>
                <w:color w:val="auto"/>
                <w:kern w:val="0"/>
                <w:sz w:val="24"/>
              </w:rPr>
            </w:pPr>
          </w:p>
        </w:tc>
        <w:tc>
          <w:tcPr>
            <w:tcW w:w="5105" w:type="dxa"/>
            <w:gridSpan w:val="2"/>
            <w:shd w:val="clear" w:color="auto" w:fill="auto"/>
            <w:vAlign w:val="center"/>
          </w:tcPr>
          <w:p w14:paraId="080B027E">
            <w:pPr>
              <w:widowControl/>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具有完善可行的出库、运输、信息、药品安全、冷链等应急保障预案，得2分。</w:t>
            </w:r>
          </w:p>
        </w:tc>
        <w:tc>
          <w:tcPr>
            <w:tcW w:w="733" w:type="dxa"/>
            <w:shd w:val="clear" w:color="auto" w:fill="auto"/>
            <w:vAlign w:val="center"/>
          </w:tcPr>
          <w:p w14:paraId="7FA34EC0">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2</w:t>
            </w:r>
          </w:p>
        </w:tc>
        <w:tc>
          <w:tcPr>
            <w:tcW w:w="717" w:type="dxa"/>
            <w:shd w:val="clear" w:color="auto" w:fill="auto"/>
            <w:vAlign w:val="center"/>
          </w:tcPr>
          <w:p w14:paraId="131264D7">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7B2627C1">
            <w:pPr>
              <w:widowControl/>
              <w:jc w:val="left"/>
              <w:rPr>
                <w:rFonts w:ascii="Times New Roman" w:hAnsi="Times New Roman" w:eastAsia="宋体" w:cs="Times New Roman"/>
                <w:color w:val="auto"/>
                <w:kern w:val="0"/>
                <w:sz w:val="24"/>
              </w:rPr>
            </w:pPr>
          </w:p>
        </w:tc>
        <w:tc>
          <w:tcPr>
            <w:tcW w:w="2734" w:type="dxa"/>
            <w:vMerge w:val="continue"/>
            <w:shd w:val="clear" w:color="auto" w:fill="auto"/>
            <w:vAlign w:val="center"/>
          </w:tcPr>
          <w:p w14:paraId="617A74B0">
            <w:pPr>
              <w:widowControl/>
              <w:jc w:val="left"/>
              <w:rPr>
                <w:rFonts w:ascii="Times New Roman" w:hAnsi="Times New Roman" w:eastAsia="宋体" w:cs="Times New Roman"/>
                <w:color w:val="auto"/>
                <w:kern w:val="0"/>
                <w:sz w:val="24"/>
              </w:rPr>
            </w:pPr>
          </w:p>
        </w:tc>
      </w:tr>
      <w:tr w14:paraId="26C3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75" w:type="dxa"/>
            <w:vMerge w:val="continue"/>
            <w:vAlign w:val="center"/>
          </w:tcPr>
          <w:p w14:paraId="5F7EABB9">
            <w:pPr>
              <w:widowControl/>
              <w:jc w:val="left"/>
              <w:rPr>
                <w:rFonts w:ascii="Times New Roman" w:hAnsi="Times New Roman" w:eastAsia="宋体" w:cs="Times New Roman"/>
                <w:b/>
                <w:bCs/>
                <w:color w:val="auto"/>
                <w:kern w:val="0"/>
                <w:sz w:val="24"/>
              </w:rPr>
            </w:pPr>
          </w:p>
        </w:tc>
        <w:tc>
          <w:tcPr>
            <w:tcW w:w="5105" w:type="dxa"/>
            <w:gridSpan w:val="2"/>
            <w:shd w:val="clear" w:color="auto" w:fill="auto"/>
            <w:vAlign w:val="center"/>
          </w:tcPr>
          <w:p w14:paraId="33C89A23">
            <w:pPr>
              <w:widowControl/>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应急资源和设备：如备用电源、通讯设备、应急药品储备等，得1分。</w:t>
            </w:r>
          </w:p>
        </w:tc>
        <w:tc>
          <w:tcPr>
            <w:tcW w:w="733" w:type="dxa"/>
            <w:shd w:val="clear" w:color="auto" w:fill="auto"/>
            <w:vAlign w:val="center"/>
          </w:tcPr>
          <w:p w14:paraId="00AC500E">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1</w:t>
            </w:r>
          </w:p>
        </w:tc>
        <w:tc>
          <w:tcPr>
            <w:tcW w:w="717" w:type="dxa"/>
            <w:shd w:val="clear" w:color="auto" w:fill="auto"/>
            <w:vAlign w:val="center"/>
          </w:tcPr>
          <w:p w14:paraId="5CC90449">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03EF4041">
            <w:pPr>
              <w:widowControl/>
              <w:jc w:val="left"/>
              <w:rPr>
                <w:rFonts w:ascii="Times New Roman" w:hAnsi="Times New Roman" w:eastAsia="宋体" w:cs="Times New Roman"/>
                <w:color w:val="auto"/>
                <w:kern w:val="0"/>
                <w:sz w:val="24"/>
              </w:rPr>
            </w:pPr>
          </w:p>
        </w:tc>
        <w:tc>
          <w:tcPr>
            <w:tcW w:w="2734" w:type="dxa"/>
            <w:vMerge w:val="continue"/>
            <w:shd w:val="clear" w:color="auto" w:fill="auto"/>
            <w:vAlign w:val="center"/>
          </w:tcPr>
          <w:p w14:paraId="623B94C6">
            <w:pPr>
              <w:widowControl/>
              <w:jc w:val="left"/>
              <w:rPr>
                <w:rFonts w:ascii="Times New Roman" w:hAnsi="Times New Roman" w:eastAsia="宋体" w:cs="Times New Roman"/>
                <w:color w:val="auto"/>
                <w:kern w:val="0"/>
                <w:sz w:val="24"/>
              </w:rPr>
            </w:pPr>
          </w:p>
        </w:tc>
      </w:tr>
      <w:tr w14:paraId="7B23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075" w:type="dxa"/>
            <w:vMerge w:val="continue"/>
            <w:vAlign w:val="center"/>
          </w:tcPr>
          <w:p w14:paraId="5158B58C">
            <w:pPr>
              <w:widowControl/>
              <w:jc w:val="left"/>
              <w:rPr>
                <w:rFonts w:ascii="Times New Roman" w:hAnsi="Times New Roman" w:eastAsia="宋体" w:cs="Times New Roman"/>
                <w:b/>
                <w:bCs/>
                <w:color w:val="auto"/>
                <w:kern w:val="0"/>
                <w:sz w:val="24"/>
              </w:rPr>
            </w:pPr>
          </w:p>
        </w:tc>
        <w:tc>
          <w:tcPr>
            <w:tcW w:w="5105" w:type="dxa"/>
            <w:gridSpan w:val="2"/>
            <w:shd w:val="clear" w:color="auto" w:fill="auto"/>
            <w:vAlign w:val="center"/>
          </w:tcPr>
          <w:p w14:paraId="64D5F86D">
            <w:pPr>
              <w:widowControl/>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具备信息报告和沟通机制，有定期开展应急演练的记录，得1分。</w:t>
            </w:r>
          </w:p>
        </w:tc>
        <w:tc>
          <w:tcPr>
            <w:tcW w:w="733" w:type="dxa"/>
            <w:shd w:val="clear" w:color="auto" w:fill="auto"/>
            <w:vAlign w:val="center"/>
          </w:tcPr>
          <w:p w14:paraId="03D54CCB">
            <w:pPr>
              <w:widowControl/>
              <w:jc w:val="center"/>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1</w:t>
            </w:r>
          </w:p>
        </w:tc>
        <w:tc>
          <w:tcPr>
            <w:tcW w:w="717" w:type="dxa"/>
            <w:shd w:val="clear" w:color="auto" w:fill="auto"/>
            <w:vAlign w:val="center"/>
          </w:tcPr>
          <w:p w14:paraId="48FDE461">
            <w:pPr>
              <w:widowControl/>
              <w:jc w:val="center"/>
              <w:rPr>
                <w:rFonts w:hint="eastAsia" w:ascii="Times New Roman" w:hAnsi="Times New Roman" w:eastAsia="宋体" w:cs="Times New Roman"/>
                <w:color w:val="auto"/>
                <w:kern w:val="0"/>
                <w:sz w:val="24"/>
              </w:rPr>
            </w:pPr>
          </w:p>
        </w:tc>
        <w:tc>
          <w:tcPr>
            <w:tcW w:w="783" w:type="dxa"/>
            <w:shd w:val="clear" w:color="auto" w:fill="auto"/>
            <w:vAlign w:val="center"/>
          </w:tcPr>
          <w:p w14:paraId="1922EB3C">
            <w:pPr>
              <w:widowControl/>
              <w:jc w:val="left"/>
              <w:rPr>
                <w:rFonts w:ascii="Times New Roman" w:hAnsi="Times New Roman" w:eastAsia="宋体" w:cs="Times New Roman"/>
                <w:color w:val="auto"/>
                <w:kern w:val="0"/>
                <w:sz w:val="24"/>
              </w:rPr>
            </w:pPr>
          </w:p>
        </w:tc>
        <w:tc>
          <w:tcPr>
            <w:tcW w:w="2734" w:type="dxa"/>
            <w:vMerge w:val="continue"/>
            <w:shd w:val="clear" w:color="auto" w:fill="auto"/>
            <w:vAlign w:val="center"/>
          </w:tcPr>
          <w:p w14:paraId="5764580C">
            <w:pPr>
              <w:widowControl/>
              <w:jc w:val="left"/>
              <w:rPr>
                <w:rFonts w:ascii="Times New Roman" w:hAnsi="Times New Roman" w:eastAsia="宋体" w:cs="Times New Roman"/>
                <w:color w:val="auto"/>
                <w:kern w:val="0"/>
                <w:sz w:val="24"/>
              </w:rPr>
            </w:pPr>
          </w:p>
        </w:tc>
      </w:tr>
      <w:tr w14:paraId="6D9C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913" w:type="dxa"/>
            <w:gridSpan w:val="4"/>
            <w:shd w:val="clear" w:color="auto" w:fill="auto"/>
            <w:vAlign w:val="center"/>
          </w:tcPr>
          <w:p w14:paraId="0AF3FF33">
            <w:pPr>
              <w:widowControl/>
              <w:jc w:val="left"/>
              <w:rPr>
                <w:rFonts w:ascii="Times New Roman" w:hAnsi="Times New Roman" w:eastAsia="宋体" w:cs="Times New Roman"/>
                <w:b/>
                <w:bCs/>
                <w:color w:val="auto"/>
                <w:kern w:val="0"/>
                <w:sz w:val="24"/>
              </w:rPr>
            </w:pPr>
            <w:r>
              <w:rPr>
                <w:rFonts w:ascii="Times New Roman" w:hAnsi="Times New Roman" w:eastAsia="宋体" w:cs="Times New Roman"/>
                <w:b/>
                <w:bCs/>
                <w:color w:val="auto"/>
                <w:kern w:val="0"/>
                <w:sz w:val="24"/>
              </w:rPr>
              <w:t>合计得分</w:t>
            </w:r>
          </w:p>
        </w:tc>
        <w:tc>
          <w:tcPr>
            <w:tcW w:w="717" w:type="dxa"/>
            <w:shd w:val="clear" w:color="auto" w:fill="auto"/>
            <w:vAlign w:val="center"/>
          </w:tcPr>
          <w:p w14:paraId="0D3F4779">
            <w:pPr>
              <w:widowControl/>
              <w:jc w:val="left"/>
              <w:rPr>
                <w:rFonts w:ascii="Times New Roman" w:hAnsi="Times New Roman" w:eastAsia="宋体" w:cs="Times New Roman"/>
                <w:b/>
                <w:bCs/>
                <w:color w:val="auto"/>
                <w:kern w:val="0"/>
                <w:sz w:val="24"/>
              </w:rPr>
            </w:pPr>
          </w:p>
        </w:tc>
        <w:tc>
          <w:tcPr>
            <w:tcW w:w="3517" w:type="dxa"/>
            <w:gridSpan w:val="2"/>
            <w:shd w:val="clear" w:color="auto" w:fill="auto"/>
            <w:vAlign w:val="center"/>
          </w:tcPr>
          <w:p w14:paraId="0814CBFE">
            <w:pPr>
              <w:widowControl/>
              <w:jc w:val="center"/>
              <w:rPr>
                <w:rFonts w:ascii="Times New Roman" w:hAnsi="Times New Roman" w:eastAsia="宋体" w:cs="Times New Roman"/>
                <w:b/>
                <w:bCs/>
                <w:color w:val="auto"/>
                <w:kern w:val="0"/>
                <w:sz w:val="24"/>
              </w:rPr>
            </w:pPr>
            <w:r>
              <w:rPr>
                <w:rFonts w:ascii="Times New Roman" w:hAnsi="Times New Roman" w:eastAsia="宋体" w:cs="Times New Roman"/>
                <w:b/>
                <w:bCs/>
                <w:color w:val="auto"/>
                <w:kern w:val="0"/>
                <w:sz w:val="24"/>
              </w:rPr>
              <w:t>　</w:t>
            </w:r>
          </w:p>
        </w:tc>
      </w:tr>
      <w:tr w14:paraId="2B3E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47" w:type="dxa"/>
            <w:gridSpan w:val="7"/>
            <w:shd w:val="clear" w:color="auto" w:fill="auto"/>
            <w:vAlign w:val="center"/>
          </w:tcPr>
          <w:p w14:paraId="5D873E09">
            <w:pPr>
              <w:widowControl/>
              <w:ind w:left="720" w:hanging="720" w:hangingChars="300"/>
              <w:jc w:val="left"/>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说明：1.申报</w:t>
            </w:r>
            <w:r>
              <w:rPr>
                <w:rFonts w:hint="eastAsia" w:ascii="Times New Roman" w:hAnsi="Times New Roman" w:eastAsia="宋体" w:cs="Times New Roman"/>
                <w:color w:val="auto"/>
                <w:kern w:val="0"/>
                <w:sz w:val="24"/>
              </w:rPr>
              <w:t>企业</w:t>
            </w:r>
            <w:r>
              <w:rPr>
                <w:rFonts w:ascii="Times New Roman" w:hAnsi="Times New Roman" w:eastAsia="宋体" w:cs="Times New Roman"/>
                <w:color w:val="auto"/>
                <w:kern w:val="0"/>
                <w:sz w:val="24"/>
              </w:rPr>
              <w:t>的证明材料复印件，每份应加盖企业公章。</w:t>
            </w:r>
            <w:r>
              <w:rPr>
                <w:rFonts w:ascii="Times New Roman" w:hAnsi="Times New Roman" w:eastAsia="宋体" w:cs="Times New Roman"/>
                <w:color w:val="auto"/>
                <w:kern w:val="0"/>
                <w:sz w:val="24"/>
              </w:rPr>
              <w:br w:type="textWrapping"/>
            </w:r>
            <w:r>
              <w:rPr>
                <w:rFonts w:ascii="Times New Roman" w:hAnsi="Times New Roman" w:eastAsia="宋体" w:cs="Times New Roman"/>
                <w:color w:val="auto"/>
                <w:kern w:val="0"/>
                <w:sz w:val="24"/>
              </w:rPr>
              <w:t>2.本标准涉及的数据以申报企业本身数据为准。</w:t>
            </w:r>
          </w:p>
        </w:tc>
      </w:tr>
    </w:tbl>
    <w:p w14:paraId="4F1B8108">
      <w:pPr>
        <w:pStyle w:val="2"/>
        <w:ind w:left="0" w:leftChars="0" w:firstLine="0" w:firstLineChars="0"/>
        <w:rPr>
          <w:rFonts w:hint="default" w:ascii="仿宋" w:hAnsi="仿宋" w:eastAsia="仿宋" w:cs="仿宋"/>
          <w:b w:val="0"/>
          <w:bCs w:val="0"/>
          <w:sz w:val="32"/>
          <w:szCs w:val="32"/>
          <w:lang w:val="en-US" w:eastAsia="zh-CN"/>
        </w:rPr>
      </w:pPr>
    </w:p>
    <w:sectPr>
      <w:pgSz w:w="11906" w:h="16838"/>
      <w:pgMar w:top="1440" w:right="1417"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595B9F-55B3-46E1-A292-0A0AB25D2F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E4B5726-8948-4D1A-A6EE-9ACF34BA35B0}"/>
  </w:font>
  <w:font w:name="仿宋">
    <w:panose1 w:val="02010609060101010101"/>
    <w:charset w:val="86"/>
    <w:family w:val="auto"/>
    <w:pitch w:val="default"/>
    <w:sig w:usb0="800002BF" w:usb1="38CF7CFA" w:usb2="00000016" w:usb3="00000000" w:csb0="00040001" w:csb1="00000000"/>
    <w:embedRegular r:id="rId3" w:fontKey="{9CC29A9A-A6EE-4E9D-A080-30C2859B0117}"/>
  </w:font>
  <w:font w:name="Tahoma">
    <w:panose1 w:val="020B0604030504040204"/>
    <w:charset w:val="00"/>
    <w:family w:val="auto"/>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embedRegular r:id="rId4" w:fontKey="{685D0A07-DFD2-4ABC-B6B2-CA987BE5ADEF}"/>
  </w:font>
  <w:font w:name="仿宋_GB2312">
    <w:altName w:val="仿宋"/>
    <w:panose1 w:val="02010609030101010101"/>
    <w:charset w:val="86"/>
    <w:family w:val="auto"/>
    <w:pitch w:val="default"/>
    <w:sig w:usb0="00000000" w:usb1="00000000" w:usb2="00000000" w:usb3="00000000" w:csb0="00040000" w:csb1="00000000"/>
    <w:embedRegular r:id="rId5" w:fontKey="{6C2674AA-C4AF-4FA8-B06A-7B3A8F7B7B9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3NDYyMzkzYzZkYWM0YmViN2RjMTUzMjIwNWZkZTQifQ=="/>
  </w:docVars>
  <w:rsids>
    <w:rsidRoot w:val="00000000"/>
    <w:rsid w:val="023B20BF"/>
    <w:rsid w:val="0D533015"/>
    <w:rsid w:val="0EC80C18"/>
    <w:rsid w:val="11766346"/>
    <w:rsid w:val="144E3EB3"/>
    <w:rsid w:val="15424DAA"/>
    <w:rsid w:val="17F70315"/>
    <w:rsid w:val="1B6B107D"/>
    <w:rsid w:val="1C1E72E4"/>
    <w:rsid w:val="1C523486"/>
    <w:rsid w:val="1EAF6853"/>
    <w:rsid w:val="2130749E"/>
    <w:rsid w:val="21656A5B"/>
    <w:rsid w:val="229C6EFA"/>
    <w:rsid w:val="230B1CE1"/>
    <w:rsid w:val="27005B64"/>
    <w:rsid w:val="27FC632B"/>
    <w:rsid w:val="295F1070"/>
    <w:rsid w:val="2BB52767"/>
    <w:rsid w:val="2DD83397"/>
    <w:rsid w:val="325367F3"/>
    <w:rsid w:val="32544FB6"/>
    <w:rsid w:val="33C90C05"/>
    <w:rsid w:val="33CA236D"/>
    <w:rsid w:val="35D67FF9"/>
    <w:rsid w:val="396E3733"/>
    <w:rsid w:val="397523E2"/>
    <w:rsid w:val="3A02315F"/>
    <w:rsid w:val="3BB078EF"/>
    <w:rsid w:val="3C05353C"/>
    <w:rsid w:val="3D3C65F8"/>
    <w:rsid w:val="3FC76906"/>
    <w:rsid w:val="4ACE0E9B"/>
    <w:rsid w:val="5381780D"/>
    <w:rsid w:val="54106B37"/>
    <w:rsid w:val="54197CE8"/>
    <w:rsid w:val="54F456A6"/>
    <w:rsid w:val="55592F8C"/>
    <w:rsid w:val="589870FB"/>
    <w:rsid w:val="5DE15D5F"/>
    <w:rsid w:val="5F7F7267"/>
    <w:rsid w:val="63BD718C"/>
    <w:rsid w:val="656136E1"/>
    <w:rsid w:val="67494D45"/>
    <w:rsid w:val="6EF945FD"/>
    <w:rsid w:val="72293CF8"/>
    <w:rsid w:val="73AB25C1"/>
    <w:rsid w:val="73BE562B"/>
    <w:rsid w:val="74045E56"/>
    <w:rsid w:val="745239B5"/>
    <w:rsid w:val="762A5E0D"/>
    <w:rsid w:val="78BD69DE"/>
    <w:rsid w:val="79C1386C"/>
    <w:rsid w:val="7B9A708C"/>
    <w:rsid w:val="7CA61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unhideWhenUsed/>
    <w:qFormat/>
    <w:uiPriority w:val="0"/>
    <w:pPr>
      <w:kinsoku w:val="0"/>
      <w:autoSpaceDE w:val="0"/>
      <w:autoSpaceDN w:val="0"/>
      <w:adjustRightInd w:val="0"/>
      <w:snapToGrid w:val="0"/>
      <w:ind w:firstLine="420" w:firstLineChars="200"/>
      <w:textAlignment w:val="baseline"/>
    </w:pPr>
    <w:rPr>
      <w:rFonts w:ascii="Arial" w:hAnsi="Arial" w:cs="Arial" w:eastAsiaTheme="minorEastAsia"/>
      <w:snapToGrid w:val="0"/>
      <w:color w:val="000000"/>
      <w:sz w:val="21"/>
      <w:szCs w:val="21"/>
      <w:lang w:val="en-US" w:eastAsia="zh-CN" w:bidi="ar-SA"/>
    </w:rPr>
  </w:style>
  <w:style w:type="paragraph" w:styleId="3">
    <w:name w:val="footer"/>
    <w:basedOn w:val="1"/>
    <w:unhideWhenUsed/>
    <w:qFormat/>
    <w:uiPriority w:val="99"/>
    <w:pPr>
      <w:tabs>
        <w:tab w:val="center" w:pos="4153"/>
        <w:tab w:val="right" w:pos="8306"/>
      </w:tabs>
    </w:pPr>
    <w:rPr>
      <w:sz w:val="18"/>
      <w:szCs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4708</Words>
  <Characters>4909</Characters>
  <Lines>0</Lines>
  <Paragraphs>0</Paragraphs>
  <TotalTime>10</TotalTime>
  <ScaleCrop>false</ScaleCrop>
  <LinksUpToDate>false</LinksUpToDate>
  <CharactersWithSpaces>5026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2024-04-15T09:37:00Z</dcterms:created>
  <dc:creator>lenovo</dc:creator>
  <cp:lastModifiedBy>哪可碌碌</cp:lastModifiedBy>
  <dcterms:modified xsi:type="dcterms:W3CDTF">2026-04-23T08:34:40Z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E4A9261370FF4333905077AF9ED91AE7_13</vt:lpwstr>
  </property>
  <property fmtid="{D5CDD505-2E9C-101B-9397-08002B2CF9AE}" pid="4" name="KSOTemplateDocerSaveRecord">
    <vt:lpwstr>eyJoZGlkIjoiODYxNDdkOTQ2YTY2ZWVjNmRjMjliMGQ3NjI1OGFiNGQiLCJ1c2VySWQiOiIzMDc5ODczNjQifQ==</vt:lpwstr>
  </property>
</Properties>
</file>