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74FB3">
      <w:pPr>
        <w:pStyle w:val="6"/>
        <w:keepNext w:val="0"/>
        <w:keepLines w:val="0"/>
        <w:pageBreakBefore w:val="0"/>
        <w:kinsoku/>
        <w:wordWrap/>
        <w:overflowPunct/>
        <w:topLinePunct w:val="0"/>
        <w:autoSpaceDE/>
        <w:autoSpaceDN/>
        <w:bidi w:val="0"/>
        <w:adjustRightInd/>
        <w:snapToGrid/>
        <w:spacing w:line="560" w:lineRule="exact"/>
        <w:ind w:left="0" w:leftChars="0" w:firstLine="0" w:firstLineChars="0"/>
        <w:jc w:val="left"/>
        <w:rPr>
          <w:rFonts w:hint="eastAsia" w:ascii="黑体" w:hAnsi="黑体" w:eastAsia="黑体" w:cs="黑体"/>
          <w:b w:val="0"/>
          <w:bCs w:val="0"/>
          <w:color w:val="auto"/>
          <w:kern w:val="2"/>
          <w:sz w:val="28"/>
          <w:szCs w:val="28"/>
          <w:lang w:val="en-US" w:eastAsia="zh-CN" w:bidi="ar-SA"/>
        </w:rPr>
      </w:pPr>
      <w:bookmarkStart w:id="0" w:name="_GoBack"/>
      <w:bookmarkEnd w:id="0"/>
      <w:r>
        <w:rPr>
          <w:rFonts w:hint="eastAsia" w:ascii="黑体" w:hAnsi="黑体" w:eastAsia="黑体" w:cs="黑体"/>
          <w:b w:val="0"/>
          <w:bCs w:val="0"/>
          <w:color w:val="auto"/>
          <w:kern w:val="2"/>
          <w:sz w:val="28"/>
          <w:szCs w:val="28"/>
          <w:lang w:val="en-US" w:eastAsia="zh-CN" w:bidi="ar-SA"/>
        </w:rPr>
        <w:t>附件1</w:t>
      </w:r>
    </w:p>
    <w:p w14:paraId="6AB7FF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color w:val="auto"/>
          <w:kern w:val="2"/>
          <w:sz w:val="36"/>
          <w:szCs w:val="36"/>
          <w:lang w:val="en-US" w:eastAsia="zh-CN" w:bidi="ar-SA"/>
        </w:rPr>
      </w:pPr>
      <w:r>
        <w:rPr>
          <w:rFonts w:hint="eastAsia" w:ascii="黑体" w:hAnsi="黑体" w:eastAsia="黑体" w:cs="黑体"/>
          <w:color w:val="auto"/>
          <w:kern w:val="2"/>
          <w:sz w:val="36"/>
          <w:szCs w:val="36"/>
          <w:lang w:val="en-US" w:eastAsia="zh-CN" w:bidi="ar-SA"/>
        </w:rPr>
        <w:t>市场调研报名供应商信息表</w:t>
      </w:r>
    </w:p>
    <w:tbl>
      <w:tblPr>
        <w:tblStyle w:val="4"/>
        <w:tblW w:w="9304" w:type="dxa"/>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5"/>
        <w:gridCol w:w="6849"/>
      </w:tblGrid>
      <w:tr w14:paraId="3496C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55" w:type="dxa"/>
            <w:tcBorders>
              <w:top w:val="single" w:color="000000" w:sz="4" w:space="0"/>
              <w:left w:val="single" w:color="000000" w:sz="4" w:space="0"/>
              <w:bottom w:val="single" w:color="000000" w:sz="4" w:space="0"/>
              <w:right w:val="single" w:color="000000" w:sz="4" w:space="0"/>
            </w:tcBorders>
            <w:noWrap w:val="0"/>
            <w:vAlign w:val="center"/>
          </w:tcPr>
          <w:p w14:paraId="5025B44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新宋体" w:eastAsia="仿宋_GB2312" w:cs="新宋体"/>
                <w:color w:val="auto"/>
                <w:kern w:val="2"/>
                <w:sz w:val="21"/>
                <w:szCs w:val="21"/>
                <w:lang w:val="en-US" w:eastAsia="zh-CN" w:bidi="ar-SA"/>
              </w:rPr>
            </w:pPr>
            <w:r>
              <w:rPr>
                <w:rFonts w:hint="eastAsia" w:ascii="仿宋_GB2312" w:hAnsi="新宋体" w:eastAsia="仿宋_GB2312" w:cs="新宋体"/>
                <w:color w:val="auto"/>
                <w:kern w:val="2"/>
                <w:sz w:val="21"/>
                <w:szCs w:val="21"/>
                <w:lang w:val="en-US" w:eastAsia="zh-CN" w:bidi="ar-SA"/>
              </w:rPr>
              <w:t>公司名称</w:t>
            </w:r>
          </w:p>
        </w:tc>
        <w:tc>
          <w:tcPr>
            <w:tcW w:w="6849" w:type="dxa"/>
            <w:tcBorders>
              <w:top w:val="single" w:color="000000" w:sz="4" w:space="0"/>
              <w:left w:val="single" w:color="000000" w:sz="4" w:space="0"/>
              <w:bottom w:val="single" w:color="000000" w:sz="4" w:space="0"/>
              <w:right w:val="single" w:color="000000" w:sz="4" w:space="0"/>
            </w:tcBorders>
            <w:noWrap w:val="0"/>
            <w:vAlign w:val="center"/>
          </w:tcPr>
          <w:p w14:paraId="3AAFD92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新宋体" w:eastAsia="仿宋_GB2312" w:cs="新宋体"/>
                <w:color w:val="auto"/>
                <w:kern w:val="2"/>
                <w:sz w:val="21"/>
                <w:szCs w:val="21"/>
                <w:lang w:val="en-US" w:eastAsia="zh-CN" w:bidi="ar-SA"/>
              </w:rPr>
            </w:pPr>
            <w:r>
              <w:rPr>
                <w:rFonts w:hint="eastAsia" w:ascii="仿宋_GB2312" w:hAnsi="新宋体" w:eastAsia="仿宋_GB2312" w:cs="新宋体"/>
                <w:color w:val="auto"/>
                <w:kern w:val="2"/>
                <w:sz w:val="21"/>
                <w:szCs w:val="21"/>
                <w:lang w:val="en-US" w:eastAsia="zh-CN" w:bidi="ar-SA"/>
              </w:rPr>
              <w:t>XX公司</w:t>
            </w:r>
          </w:p>
        </w:tc>
      </w:tr>
      <w:tr w14:paraId="3EC52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455" w:type="dxa"/>
            <w:tcBorders>
              <w:top w:val="single" w:color="000000" w:sz="4" w:space="0"/>
              <w:left w:val="single" w:color="000000" w:sz="4" w:space="0"/>
              <w:bottom w:val="single" w:color="000000" w:sz="4" w:space="0"/>
              <w:right w:val="single" w:color="000000" w:sz="4" w:space="0"/>
            </w:tcBorders>
            <w:noWrap w:val="0"/>
            <w:vAlign w:val="center"/>
          </w:tcPr>
          <w:p w14:paraId="107B83B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新宋体" w:eastAsia="仿宋_GB2312" w:cs="新宋体"/>
                <w:color w:val="auto"/>
                <w:kern w:val="2"/>
                <w:sz w:val="21"/>
                <w:szCs w:val="21"/>
                <w:lang w:val="en-US" w:eastAsia="zh-CN" w:bidi="ar-SA"/>
              </w:rPr>
            </w:pPr>
            <w:r>
              <w:rPr>
                <w:rFonts w:hint="eastAsia" w:ascii="仿宋_GB2312" w:hAnsi="新宋体" w:eastAsia="仿宋_GB2312" w:cs="新宋体"/>
                <w:color w:val="auto"/>
                <w:kern w:val="2"/>
                <w:sz w:val="21"/>
                <w:szCs w:val="21"/>
                <w:lang w:val="en-US" w:eastAsia="zh-CN" w:bidi="ar-SA"/>
              </w:rPr>
              <w:t>联系人姓名</w:t>
            </w:r>
          </w:p>
        </w:tc>
        <w:tc>
          <w:tcPr>
            <w:tcW w:w="6849" w:type="dxa"/>
            <w:tcBorders>
              <w:top w:val="single" w:color="000000" w:sz="4" w:space="0"/>
              <w:left w:val="single" w:color="000000" w:sz="4" w:space="0"/>
              <w:bottom w:val="single" w:color="000000" w:sz="4" w:space="0"/>
              <w:right w:val="single" w:color="000000" w:sz="4" w:space="0"/>
            </w:tcBorders>
            <w:noWrap w:val="0"/>
            <w:vAlign w:val="center"/>
          </w:tcPr>
          <w:p w14:paraId="2EE0540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新宋体" w:eastAsia="仿宋_GB2312" w:cs="新宋体"/>
                <w:color w:val="auto"/>
                <w:kern w:val="2"/>
                <w:sz w:val="21"/>
                <w:szCs w:val="21"/>
                <w:lang w:val="en-US" w:eastAsia="zh-CN" w:bidi="ar-SA"/>
              </w:rPr>
            </w:pPr>
            <w:r>
              <w:rPr>
                <w:rFonts w:hint="eastAsia" w:ascii="仿宋_GB2312" w:hAnsi="新宋体" w:eastAsia="仿宋_GB2312" w:cs="新宋体"/>
                <w:color w:val="auto"/>
                <w:kern w:val="2"/>
                <w:sz w:val="21"/>
                <w:szCs w:val="21"/>
                <w:lang w:val="en-US" w:eastAsia="zh-CN" w:bidi="ar-SA"/>
              </w:rPr>
              <w:t>王XX</w:t>
            </w:r>
          </w:p>
        </w:tc>
      </w:tr>
      <w:tr w14:paraId="0CD1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55" w:type="dxa"/>
            <w:tcBorders>
              <w:top w:val="single" w:color="000000" w:sz="4" w:space="0"/>
              <w:left w:val="single" w:color="000000" w:sz="4" w:space="0"/>
              <w:bottom w:val="single" w:color="000000" w:sz="4" w:space="0"/>
              <w:right w:val="single" w:color="000000" w:sz="4" w:space="0"/>
            </w:tcBorders>
            <w:noWrap w:val="0"/>
            <w:vAlign w:val="center"/>
          </w:tcPr>
          <w:p w14:paraId="2D590BC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新宋体" w:eastAsia="仿宋_GB2312" w:cs="新宋体"/>
                <w:color w:val="auto"/>
                <w:kern w:val="2"/>
                <w:sz w:val="21"/>
                <w:szCs w:val="21"/>
                <w:lang w:val="en-US" w:eastAsia="zh-CN" w:bidi="ar-SA"/>
              </w:rPr>
            </w:pPr>
            <w:r>
              <w:rPr>
                <w:rFonts w:hint="eastAsia" w:ascii="仿宋_GB2312" w:hAnsi="新宋体" w:eastAsia="仿宋_GB2312" w:cs="新宋体"/>
                <w:color w:val="auto"/>
                <w:kern w:val="2"/>
                <w:sz w:val="21"/>
                <w:szCs w:val="21"/>
                <w:lang w:val="en-US" w:eastAsia="zh-CN" w:bidi="ar-SA"/>
              </w:rPr>
              <w:t>身份证号码</w:t>
            </w:r>
          </w:p>
        </w:tc>
        <w:tc>
          <w:tcPr>
            <w:tcW w:w="6849" w:type="dxa"/>
            <w:tcBorders>
              <w:top w:val="single" w:color="000000" w:sz="4" w:space="0"/>
              <w:left w:val="single" w:color="000000" w:sz="4" w:space="0"/>
              <w:bottom w:val="single" w:color="000000" w:sz="4" w:space="0"/>
              <w:right w:val="single" w:color="000000" w:sz="4" w:space="0"/>
            </w:tcBorders>
            <w:noWrap w:val="0"/>
            <w:vAlign w:val="center"/>
          </w:tcPr>
          <w:p w14:paraId="3D4561B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新宋体" w:eastAsia="仿宋_GB2312" w:cs="新宋体"/>
                <w:color w:val="auto"/>
                <w:kern w:val="2"/>
                <w:sz w:val="21"/>
                <w:szCs w:val="21"/>
                <w:lang w:val="en-US" w:eastAsia="zh-CN" w:bidi="ar-SA"/>
              </w:rPr>
            </w:pPr>
            <w:r>
              <w:rPr>
                <w:rFonts w:hint="eastAsia" w:ascii="仿宋_GB2312" w:hAnsi="新宋体" w:eastAsia="仿宋_GB2312" w:cs="新宋体"/>
                <w:color w:val="auto"/>
                <w:kern w:val="2"/>
                <w:sz w:val="21"/>
                <w:szCs w:val="21"/>
                <w:lang w:val="en-US" w:eastAsia="zh-CN" w:bidi="ar-SA"/>
              </w:rPr>
              <w:t>5XXX</w:t>
            </w:r>
          </w:p>
        </w:tc>
      </w:tr>
      <w:tr w14:paraId="06C83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55" w:type="dxa"/>
            <w:tcBorders>
              <w:top w:val="single" w:color="000000" w:sz="4" w:space="0"/>
              <w:left w:val="single" w:color="000000" w:sz="4" w:space="0"/>
              <w:bottom w:val="single" w:color="000000" w:sz="4" w:space="0"/>
              <w:right w:val="single" w:color="000000" w:sz="4" w:space="0"/>
            </w:tcBorders>
            <w:noWrap w:val="0"/>
            <w:vAlign w:val="center"/>
          </w:tcPr>
          <w:p w14:paraId="5FDBCAA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新宋体" w:eastAsia="仿宋_GB2312" w:cs="新宋体"/>
                <w:color w:val="auto"/>
                <w:kern w:val="2"/>
                <w:sz w:val="21"/>
                <w:szCs w:val="21"/>
                <w:lang w:val="en-US" w:eastAsia="zh-CN" w:bidi="ar-SA"/>
              </w:rPr>
            </w:pPr>
            <w:r>
              <w:rPr>
                <w:rFonts w:hint="eastAsia" w:ascii="仿宋_GB2312" w:hAnsi="新宋体" w:eastAsia="仿宋_GB2312" w:cs="新宋体"/>
                <w:color w:val="auto"/>
                <w:kern w:val="2"/>
                <w:sz w:val="21"/>
                <w:szCs w:val="21"/>
                <w:lang w:val="en-US" w:eastAsia="zh-CN" w:bidi="ar-SA"/>
              </w:rPr>
              <w:t>联系电话（手机）</w:t>
            </w:r>
          </w:p>
        </w:tc>
        <w:tc>
          <w:tcPr>
            <w:tcW w:w="6849" w:type="dxa"/>
            <w:tcBorders>
              <w:top w:val="single" w:color="000000" w:sz="4" w:space="0"/>
              <w:left w:val="single" w:color="000000" w:sz="4" w:space="0"/>
              <w:bottom w:val="single" w:color="000000" w:sz="4" w:space="0"/>
              <w:right w:val="single" w:color="000000" w:sz="4" w:space="0"/>
            </w:tcBorders>
            <w:noWrap w:val="0"/>
            <w:vAlign w:val="center"/>
          </w:tcPr>
          <w:p w14:paraId="5257A1C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新宋体" w:eastAsia="仿宋_GB2312" w:cs="新宋体"/>
                <w:color w:val="auto"/>
                <w:kern w:val="2"/>
                <w:sz w:val="21"/>
                <w:szCs w:val="21"/>
                <w:lang w:val="en-US" w:eastAsia="zh-CN" w:bidi="ar-SA"/>
              </w:rPr>
            </w:pPr>
            <w:r>
              <w:rPr>
                <w:rFonts w:hint="eastAsia" w:ascii="仿宋_GB2312" w:hAnsi="新宋体" w:eastAsia="仿宋_GB2312" w:cs="新宋体"/>
                <w:color w:val="auto"/>
                <w:kern w:val="2"/>
                <w:sz w:val="21"/>
                <w:szCs w:val="21"/>
                <w:lang w:val="en-US" w:eastAsia="zh-CN" w:bidi="ar-SA"/>
              </w:rPr>
              <w:t xml:space="preserve">183XXXXXXXX </w:t>
            </w:r>
          </w:p>
        </w:tc>
      </w:tr>
      <w:tr w14:paraId="00782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55" w:type="dxa"/>
            <w:tcBorders>
              <w:top w:val="single" w:color="000000" w:sz="4" w:space="0"/>
              <w:left w:val="single" w:color="000000" w:sz="4" w:space="0"/>
              <w:bottom w:val="single" w:color="000000" w:sz="4" w:space="0"/>
              <w:right w:val="single" w:color="000000" w:sz="4" w:space="0"/>
            </w:tcBorders>
            <w:noWrap w:val="0"/>
            <w:vAlign w:val="center"/>
          </w:tcPr>
          <w:p w14:paraId="14EF0F3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新宋体" w:eastAsia="仿宋_GB2312" w:cs="新宋体"/>
                <w:color w:val="auto"/>
                <w:kern w:val="2"/>
                <w:sz w:val="21"/>
                <w:szCs w:val="21"/>
                <w:lang w:val="en-US" w:eastAsia="zh-CN" w:bidi="ar-SA"/>
              </w:rPr>
            </w:pPr>
            <w:r>
              <w:rPr>
                <w:rFonts w:hint="eastAsia" w:ascii="仿宋_GB2312" w:hAnsi="新宋体" w:eastAsia="仿宋_GB2312" w:cs="新宋体"/>
                <w:color w:val="auto"/>
                <w:kern w:val="2"/>
                <w:sz w:val="21"/>
                <w:szCs w:val="21"/>
                <w:lang w:val="en-US" w:eastAsia="zh-CN" w:bidi="ar-SA"/>
              </w:rPr>
              <w:t>联系电话（办公）</w:t>
            </w:r>
          </w:p>
        </w:tc>
        <w:tc>
          <w:tcPr>
            <w:tcW w:w="6849" w:type="dxa"/>
            <w:tcBorders>
              <w:top w:val="single" w:color="000000" w:sz="4" w:space="0"/>
              <w:left w:val="single" w:color="000000" w:sz="4" w:space="0"/>
              <w:bottom w:val="single" w:color="000000" w:sz="4" w:space="0"/>
              <w:right w:val="single" w:color="000000" w:sz="4" w:space="0"/>
            </w:tcBorders>
            <w:noWrap w:val="0"/>
            <w:vAlign w:val="center"/>
          </w:tcPr>
          <w:p w14:paraId="6409AE4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新宋体" w:eastAsia="仿宋_GB2312" w:cs="新宋体"/>
                <w:color w:val="auto"/>
                <w:kern w:val="2"/>
                <w:sz w:val="21"/>
                <w:szCs w:val="21"/>
                <w:lang w:val="en-US" w:eastAsia="zh-CN" w:bidi="ar-SA"/>
              </w:rPr>
            </w:pPr>
            <w:r>
              <w:rPr>
                <w:rFonts w:hint="eastAsia" w:ascii="仿宋_GB2312" w:hAnsi="新宋体" w:eastAsia="仿宋_GB2312" w:cs="新宋体"/>
                <w:color w:val="auto"/>
                <w:kern w:val="2"/>
                <w:sz w:val="21"/>
                <w:szCs w:val="21"/>
                <w:lang w:val="en-US" w:eastAsia="zh-CN" w:bidi="ar-SA"/>
              </w:rPr>
              <w:t>077X-XXXXXXX</w:t>
            </w:r>
          </w:p>
        </w:tc>
      </w:tr>
      <w:tr w14:paraId="1A112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55" w:type="dxa"/>
            <w:tcBorders>
              <w:top w:val="single" w:color="000000" w:sz="4" w:space="0"/>
              <w:left w:val="single" w:color="000000" w:sz="4" w:space="0"/>
              <w:bottom w:val="single" w:color="000000" w:sz="4" w:space="0"/>
              <w:right w:val="single" w:color="000000" w:sz="4" w:space="0"/>
            </w:tcBorders>
            <w:noWrap w:val="0"/>
            <w:vAlign w:val="center"/>
          </w:tcPr>
          <w:p w14:paraId="250D7F3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新宋体" w:eastAsia="仿宋_GB2312" w:cs="新宋体"/>
                <w:color w:val="auto"/>
                <w:kern w:val="2"/>
                <w:sz w:val="21"/>
                <w:szCs w:val="21"/>
                <w:lang w:val="en-US" w:eastAsia="zh-CN" w:bidi="ar-SA"/>
              </w:rPr>
            </w:pPr>
            <w:r>
              <w:rPr>
                <w:rFonts w:hint="eastAsia" w:ascii="仿宋_GB2312" w:hAnsi="新宋体" w:eastAsia="仿宋_GB2312" w:cs="新宋体"/>
                <w:color w:val="auto"/>
                <w:kern w:val="2"/>
                <w:sz w:val="21"/>
                <w:szCs w:val="21"/>
                <w:lang w:val="en-US" w:eastAsia="zh-CN" w:bidi="ar-SA"/>
              </w:rPr>
              <w:t>邮箱</w:t>
            </w:r>
          </w:p>
        </w:tc>
        <w:tc>
          <w:tcPr>
            <w:tcW w:w="6849" w:type="dxa"/>
            <w:tcBorders>
              <w:top w:val="single" w:color="000000" w:sz="4" w:space="0"/>
              <w:left w:val="single" w:color="000000" w:sz="4" w:space="0"/>
              <w:bottom w:val="single" w:color="000000" w:sz="4" w:space="0"/>
              <w:right w:val="single" w:color="000000" w:sz="4" w:space="0"/>
            </w:tcBorders>
            <w:noWrap w:val="0"/>
            <w:vAlign w:val="center"/>
          </w:tcPr>
          <w:p w14:paraId="1A3F9F2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新宋体" w:eastAsia="仿宋_GB2312" w:cs="新宋体"/>
                <w:color w:val="auto"/>
                <w:kern w:val="2"/>
                <w:sz w:val="21"/>
                <w:szCs w:val="21"/>
                <w:lang w:val="en-US" w:eastAsia="zh-CN" w:bidi="ar-SA"/>
              </w:rPr>
            </w:pPr>
            <w:r>
              <w:rPr>
                <w:rFonts w:hint="eastAsia" w:ascii="仿宋_GB2312" w:hAnsi="新宋体" w:eastAsia="仿宋_GB2312" w:cs="新宋体"/>
                <w:color w:val="auto"/>
                <w:kern w:val="2"/>
                <w:sz w:val="21"/>
                <w:szCs w:val="21"/>
                <w:lang w:val="en-US" w:eastAsia="zh-CN" w:bidi="ar-SA"/>
              </w:rPr>
              <w:t>XXX</w:t>
            </w:r>
          </w:p>
        </w:tc>
      </w:tr>
      <w:tr w14:paraId="6A524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455" w:type="dxa"/>
            <w:tcBorders>
              <w:top w:val="single" w:color="000000" w:sz="4" w:space="0"/>
              <w:left w:val="single" w:color="000000" w:sz="4" w:space="0"/>
              <w:bottom w:val="single" w:color="000000" w:sz="4" w:space="0"/>
              <w:right w:val="single" w:color="000000" w:sz="4" w:space="0"/>
            </w:tcBorders>
            <w:noWrap w:val="0"/>
            <w:vAlign w:val="center"/>
          </w:tcPr>
          <w:p w14:paraId="56D1F7C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新宋体" w:eastAsia="仿宋_GB2312" w:cs="新宋体"/>
                <w:color w:val="auto"/>
                <w:kern w:val="2"/>
                <w:sz w:val="21"/>
                <w:szCs w:val="21"/>
                <w:lang w:val="en-US" w:eastAsia="zh-CN" w:bidi="ar-SA"/>
              </w:rPr>
            </w:pPr>
            <w:r>
              <w:rPr>
                <w:rFonts w:hint="eastAsia" w:ascii="仿宋_GB2312" w:hAnsi="新宋体" w:eastAsia="仿宋_GB2312" w:cs="新宋体"/>
                <w:color w:val="auto"/>
                <w:kern w:val="2"/>
                <w:sz w:val="21"/>
                <w:szCs w:val="21"/>
                <w:lang w:val="en-US" w:eastAsia="zh-CN" w:bidi="ar-SA"/>
              </w:rPr>
              <w:t>报名项目</w:t>
            </w:r>
          </w:p>
        </w:tc>
        <w:tc>
          <w:tcPr>
            <w:tcW w:w="6849" w:type="dxa"/>
            <w:tcBorders>
              <w:top w:val="single" w:color="000000" w:sz="4" w:space="0"/>
              <w:left w:val="single" w:color="000000" w:sz="4" w:space="0"/>
              <w:bottom w:val="single" w:color="000000" w:sz="4" w:space="0"/>
              <w:right w:val="single" w:color="000000" w:sz="4" w:space="0"/>
            </w:tcBorders>
            <w:noWrap w:val="0"/>
            <w:vAlign w:val="center"/>
          </w:tcPr>
          <w:p w14:paraId="37B2C76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新宋体" w:eastAsia="仿宋_GB2312" w:cs="新宋体"/>
                <w:color w:val="auto"/>
                <w:kern w:val="2"/>
                <w:sz w:val="21"/>
                <w:szCs w:val="21"/>
                <w:lang w:val="en-US" w:eastAsia="zh-CN" w:bidi="ar-SA"/>
              </w:rPr>
            </w:pPr>
            <w:r>
              <w:rPr>
                <w:rFonts w:hint="eastAsia" w:ascii="仿宋_GB2312" w:hAnsi="新宋体" w:eastAsia="仿宋_GB2312" w:cs="新宋体"/>
                <w:color w:val="auto"/>
                <w:kern w:val="2"/>
                <w:sz w:val="21"/>
                <w:szCs w:val="21"/>
                <w:lang w:val="en-US" w:eastAsia="zh-CN" w:bidi="ar-SA"/>
              </w:rPr>
              <w:t>XXX</w:t>
            </w:r>
          </w:p>
        </w:tc>
      </w:tr>
      <w:tr w14:paraId="31F03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2455" w:type="dxa"/>
            <w:tcBorders>
              <w:top w:val="single" w:color="000000" w:sz="4" w:space="0"/>
              <w:left w:val="single" w:color="000000" w:sz="4" w:space="0"/>
              <w:bottom w:val="single" w:color="000000" w:sz="4" w:space="0"/>
              <w:right w:val="single" w:color="000000" w:sz="4" w:space="0"/>
            </w:tcBorders>
            <w:noWrap w:val="0"/>
            <w:vAlign w:val="center"/>
          </w:tcPr>
          <w:p w14:paraId="2857B22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新宋体" w:eastAsia="仿宋_GB2312" w:cs="新宋体"/>
                <w:color w:val="auto"/>
                <w:kern w:val="2"/>
                <w:sz w:val="21"/>
                <w:szCs w:val="21"/>
                <w:lang w:val="en-US" w:eastAsia="zh-CN" w:bidi="ar-SA"/>
              </w:rPr>
            </w:pPr>
            <w:r>
              <w:rPr>
                <w:rFonts w:hint="eastAsia" w:ascii="仿宋_GB2312" w:hAnsi="新宋体" w:eastAsia="仿宋_GB2312" w:cs="新宋体"/>
                <w:color w:val="auto"/>
                <w:kern w:val="2"/>
                <w:sz w:val="21"/>
                <w:szCs w:val="21"/>
                <w:lang w:val="en-US" w:eastAsia="zh-CN" w:bidi="ar-SA"/>
              </w:rPr>
              <w:t>投保费用（年）</w:t>
            </w:r>
          </w:p>
        </w:tc>
        <w:tc>
          <w:tcPr>
            <w:tcW w:w="6849" w:type="dxa"/>
            <w:tcBorders>
              <w:top w:val="single" w:color="000000" w:sz="4" w:space="0"/>
              <w:left w:val="single" w:color="000000" w:sz="4" w:space="0"/>
              <w:bottom w:val="single" w:color="000000" w:sz="4" w:space="0"/>
              <w:right w:val="single" w:color="000000" w:sz="4" w:space="0"/>
            </w:tcBorders>
            <w:noWrap w:val="0"/>
            <w:vAlign w:val="center"/>
          </w:tcPr>
          <w:p w14:paraId="082AE2B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新宋体" w:eastAsia="仿宋_GB2312" w:cs="新宋体"/>
                <w:color w:val="auto"/>
                <w:kern w:val="2"/>
                <w:sz w:val="21"/>
                <w:szCs w:val="21"/>
                <w:lang w:val="en-US" w:eastAsia="zh-CN" w:bidi="ar-SA"/>
              </w:rPr>
            </w:pPr>
            <w:r>
              <w:rPr>
                <w:rFonts w:hint="eastAsia" w:ascii="仿宋_GB2312" w:hAnsi="新宋体" w:eastAsia="仿宋_GB2312" w:cs="新宋体"/>
                <w:color w:val="auto"/>
                <w:kern w:val="2"/>
                <w:sz w:val="21"/>
                <w:szCs w:val="21"/>
                <w:lang w:val="en-US" w:eastAsia="zh-CN" w:bidi="ar-SA"/>
              </w:rPr>
              <w:t>xx</w:t>
            </w:r>
          </w:p>
        </w:tc>
      </w:tr>
      <w:tr w14:paraId="416C9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455" w:type="dxa"/>
            <w:tcBorders>
              <w:top w:val="single" w:color="000000" w:sz="4" w:space="0"/>
              <w:left w:val="single" w:color="000000" w:sz="4" w:space="0"/>
              <w:bottom w:val="single" w:color="000000" w:sz="4" w:space="0"/>
              <w:right w:val="single" w:color="000000" w:sz="4" w:space="0"/>
            </w:tcBorders>
            <w:noWrap w:val="0"/>
            <w:vAlign w:val="center"/>
          </w:tcPr>
          <w:p w14:paraId="0779056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新宋体" w:eastAsia="仿宋_GB2312" w:cs="新宋体"/>
                <w:color w:val="auto"/>
                <w:kern w:val="2"/>
                <w:sz w:val="21"/>
                <w:szCs w:val="21"/>
                <w:lang w:val="en-US" w:eastAsia="zh-CN" w:bidi="ar-SA"/>
              </w:rPr>
            </w:pPr>
            <w:r>
              <w:rPr>
                <w:rFonts w:hint="eastAsia" w:ascii="仿宋_GB2312" w:hAnsi="新宋体" w:eastAsia="仿宋_GB2312" w:cs="新宋体"/>
                <w:color w:val="auto"/>
                <w:kern w:val="2"/>
                <w:sz w:val="21"/>
                <w:szCs w:val="21"/>
                <w:lang w:val="en-US" w:eastAsia="zh-CN" w:bidi="ar-SA"/>
              </w:rPr>
              <w:t>保障起止时间</w:t>
            </w:r>
          </w:p>
        </w:tc>
        <w:tc>
          <w:tcPr>
            <w:tcW w:w="6849" w:type="dxa"/>
            <w:tcBorders>
              <w:top w:val="single" w:color="000000" w:sz="4" w:space="0"/>
              <w:left w:val="single" w:color="000000" w:sz="4" w:space="0"/>
              <w:bottom w:val="single" w:color="000000" w:sz="4" w:space="0"/>
              <w:right w:val="single" w:color="000000" w:sz="4" w:space="0"/>
            </w:tcBorders>
            <w:noWrap w:val="0"/>
            <w:vAlign w:val="center"/>
          </w:tcPr>
          <w:p w14:paraId="536834B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新宋体" w:eastAsia="仿宋_GB2312" w:cs="新宋体"/>
                <w:color w:val="auto"/>
                <w:kern w:val="2"/>
                <w:sz w:val="21"/>
                <w:szCs w:val="21"/>
                <w:lang w:val="en-US" w:eastAsia="zh-CN" w:bidi="ar-SA"/>
              </w:rPr>
            </w:pPr>
          </w:p>
        </w:tc>
      </w:tr>
      <w:tr w14:paraId="5D589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55" w:type="dxa"/>
            <w:tcBorders>
              <w:top w:val="single" w:color="000000" w:sz="4" w:space="0"/>
              <w:left w:val="single" w:color="000000" w:sz="4" w:space="0"/>
              <w:bottom w:val="single" w:color="000000" w:sz="4" w:space="0"/>
              <w:right w:val="single" w:color="000000" w:sz="4" w:space="0"/>
            </w:tcBorders>
            <w:noWrap w:val="0"/>
            <w:vAlign w:val="center"/>
          </w:tcPr>
          <w:p w14:paraId="6A31245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新宋体" w:eastAsia="仿宋_GB2312" w:cs="新宋体"/>
                <w:color w:val="auto"/>
                <w:kern w:val="2"/>
                <w:sz w:val="21"/>
                <w:szCs w:val="21"/>
                <w:lang w:val="en-US" w:eastAsia="zh-CN" w:bidi="ar-SA"/>
              </w:rPr>
            </w:pPr>
            <w:r>
              <w:rPr>
                <w:rFonts w:hint="eastAsia" w:ascii="仿宋_GB2312" w:hAnsi="新宋体" w:eastAsia="仿宋_GB2312" w:cs="新宋体"/>
                <w:color w:val="auto"/>
                <w:kern w:val="2"/>
                <w:sz w:val="21"/>
                <w:szCs w:val="21"/>
                <w:lang w:val="en-US" w:eastAsia="zh-CN" w:bidi="ar-SA"/>
              </w:rPr>
              <w:t>保障范围</w:t>
            </w:r>
          </w:p>
        </w:tc>
        <w:tc>
          <w:tcPr>
            <w:tcW w:w="6849" w:type="dxa"/>
            <w:tcBorders>
              <w:top w:val="single" w:color="000000" w:sz="4" w:space="0"/>
              <w:left w:val="single" w:color="000000" w:sz="4" w:space="0"/>
              <w:bottom w:val="single" w:color="000000" w:sz="4" w:space="0"/>
              <w:right w:val="single" w:color="000000" w:sz="4" w:space="0"/>
            </w:tcBorders>
            <w:noWrap w:val="0"/>
            <w:vAlign w:val="center"/>
          </w:tcPr>
          <w:p w14:paraId="31D4F1A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新宋体" w:eastAsia="仿宋_GB2312" w:cs="新宋体"/>
                <w:color w:val="auto"/>
                <w:kern w:val="2"/>
                <w:sz w:val="21"/>
                <w:szCs w:val="21"/>
                <w:lang w:val="en-US" w:eastAsia="zh-CN" w:bidi="ar-SA"/>
              </w:rPr>
            </w:pPr>
          </w:p>
        </w:tc>
      </w:tr>
    </w:tbl>
    <w:p w14:paraId="586B5AFE">
      <w:pPr>
        <w:keepNext w:val="0"/>
        <w:keepLines w:val="0"/>
        <w:pageBreakBefore w:val="0"/>
        <w:widowControl w:val="0"/>
        <w:kinsoku/>
        <w:wordWrap/>
        <w:overflowPunct/>
        <w:topLinePunct w:val="0"/>
        <w:autoSpaceDE/>
        <w:autoSpaceDN/>
        <w:bidi w:val="0"/>
        <w:adjustRightInd/>
        <w:snapToGrid/>
        <w:spacing w:line="560" w:lineRule="exact"/>
        <w:ind w:right="0" w:rightChars="0" w:firstLine="7840" w:firstLineChars="2800"/>
        <w:jc w:val="both"/>
        <w:textAlignment w:val="auto"/>
        <w:outlineLvl w:val="9"/>
        <w:rPr>
          <w:rFonts w:hint="eastAsia"/>
          <w:color w:val="auto"/>
          <w:sz w:val="28"/>
          <w:szCs w:val="28"/>
          <w:lang w:val="en-US" w:eastAsia="zh-CN"/>
        </w:rPr>
      </w:pPr>
    </w:p>
    <w:p w14:paraId="2EE8E81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040" w:firstLineChars="1800"/>
        <w:jc w:val="both"/>
        <w:textAlignment w:val="auto"/>
        <w:outlineLvl w:val="9"/>
        <w:rPr>
          <w:rFonts w:hint="eastAsia" w:ascii="仿宋_GB2312" w:hAnsi="新宋体" w:eastAsia="仿宋_GB2312" w:cs="新宋体"/>
          <w:color w:val="auto"/>
          <w:kern w:val="2"/>
          <w:sz w:val="28"/>
          <w:szCs w:val="28"/>
          <w:lang w:val="en-US" w:eastAsia="zh-CN" w:bidi="ar-SA"/>
        </w:rPr>
      </w:pPr>
      <w:r>
        <w:rPr>
          <w:rFonts w:hint="eastAsia" w:ascii="仿宋_GB2312" w:hAnsi="新宋体" w:eastAsia="仿宋_GB2312" w:cs="新宋体"/>
          <w:color w:val="auto"/>
          <w:kern w:val="2"/>
          <w:sz w:val="28"/>
          <w:szCs w:val="28"/>
          <w:lang w:val="en-US" w:eastAsia="zh-CN" w:bidi="ar-SA"/>
        </w:rPr>
        <w:t xml:space="preserve">单位名称（盖章）：                 </w:t>
      </w:r>
    </w:p>
    <w:p w14:paraId="1F5162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040" w:firstLineChars="1800"/>
        <w:jc w:val="both"/>
        <w:textAlignment w:val="auto"/>
        <w:outlineLvl w:val="9"/>
        <w:rPr>
          <w:rFonts w:hint="default" w:ascii="仿宋_GB2312" w:hAnsi="新宋体" w:eastAsia="仿宋_GB2312" w:cs="新宋体"/>
          <w:color w:val="00B050"/>
          <w:kern w:val="2"/>
          <w:sz w:val="28"/>
          <w:szCs w:val="28"/>
          <w:lang w:val="en-US" w:eastAsia="zh-CN" w:bidi="ar-SA"/>
        </w:rPr>
      </w:pPr>
      <w:r>
        <w:rPr>
          <w:rFonts w:hint="eastAsia" w:ascii="仿宋_GB2312" w:hAnsi="新宋体" w:eastAsia="仿宋_GB2312" w:cs="新宋体"/>
          <w:color w:val="auto"/>
          <w:kern w:val="2"/>
          <w:sz w:val="28"/>
          <w:szCs w:val="28"/>
          <w:lang w:val="en-US" w:eastAsia="zh-CN" w:bidi="ar-SA"/>
        </w:rPr>
        <w:t xml:space="preserve">日  期：   年  月  日       </w:t>
      </w:r>
      <w:r>
        <w:rPr>
          <w:rFonts w:hint="eastAsia" w:ascii="仿宋_GB2312" w:hAnsi="新宋体" w:eastAsia="仿宋_GB2312" w:cs="新宋体"/>
          <w:color w:val="00B050"/>
          <w:kern w:val="2"/>
          <w:sz w:val="28"/>
          <w:szCs w:val="28"/>
          <w:lang w:val="en-US" w:eastAsia="zh-CN" w:bidi="ar-SA"/>
        </w:rPr>
        <w:t xml:space="preserve">                  </w:t>
      </w:r>
    </w:p>
    <w:p w14:paraId="2C18C7DF">
      <w:pPr>
        <w:keepNext w:val="0"/>
        <w:keepLines w:val="0"/>
        <w:pageBreakBefore w:val="0"/>
        <w:widowControl w:val="0"/>
        <w:kinsoku/>
        <w:wordWrap/>
        <w:overflowPunct/>
        <w:topLinePunct w:val="0"/>
        <w:autoSpaceDE/>
        <w:autoSpaceDN/>
        <w:bidi w:val="0"/>
        <w:adjustRightInd/>
        <w:snapToGrid/>
        <w:spacing w:line="560" w:lineRule="exact"/>
        <w:ind w:left="0" w:leftChars="0" w:firstLine="281" w:firstLineChars="100"/>
        <w:textAlignment w:val="auto"/>
        <w:rPr>
          <w:rFonts w:hint="eastAsia" w:ascii="Times New Roman" w:hAnsi="Times New Roman" w:eastAsia="楷体_GB2312" w:cs="Times New Roman"/>
          <w:b/>
          <w:bCs/>
          <w:color w:val="00B050"/>
          <w:sz w:val="28"/>
          <w:szCs w:val="28"/>
          <w:lang w:val="en-US" w:eastAsia="zh-CN"/>
        </w:rPr>
      </w:pPr>
    </w:p>
    <w:p w14:paraId="174BD6FD">
      <w:pPr>
        <w:keepNext w:val="0"/>
        <w:keepLines w:val="0"/>
        <w:pageBreakBefore w:val="0"/>
        <w:widowControl w:val="0"/>
        <w:kinsoku/>
        <w:wordWrap/>
        <w:overflowPunct/>
        <w:topLinePunct w:val="0"/>
        <w:autoSpaceDE/>
        <w:autoSpaceDN/>
        <w:bidi w:val="0"/>
        <w:adjustRightInd/>
        <w:snapToGrid/>
        <w:spacing w:line="560" w:lineRule="exact"/>
        <w:ind w:left="0" w:leftChars="0" w:firstLine="281" w:firstLineChars="100"/>
        <w:textAlignment w:val="auto"/>
        <w:rPr>
          <w:rFonts w:hint="eastAsia" w:ascii="Times New Roman" w:hAnsi="Times New Roman" w:eastAsia="楷体_GB2312" w:cs="Times New Roman"/>
          <w:b/>
          <w:bCs/>
          <w:color w:val="00B050"/>
          <w:sz w:val="28"/>
          <w:szCs w:val="28"/>
          <w:lang w:val="en-US" w:eastAsia="zh-CN"/>
        </w:rPr>
      </w:pPr>
    </w:p>
    <w:p w14:paraId="20C1A7FC">
      <w:pPr>
        <w:keepNext w:val="0"/>
        <w:keepLines w:val="0"/>
        <w:pageBreakBefore w:val="0"/>
        <w:widowControl w:val="0"/>
        <w:kinsoku/>
        <w:wordWrap/>
        <w:overflowPunct/>
        <w:topLinePunct w:val="0"/>
        <w:autoSpaceDE/>
        <w:autoSpaceDN/>
        <w:bidi w:val="0"/>
        <w:adjustRightInd/>
        <w:snapToGrid/>
        <w:spacing w:line="560" w:lineRule="exact"/>
        <w:ind w:left="0" w:leftChars="0" w:firstLine="281" w:firstLineChars="100"/>
        <w:textAlignment w:val="auto"/>
        <w:rPr>
          <w:rFonts w:hint="eastAsia" w:ascii="Times New Roman" w:hAnsi="Times New Roman" w:eastAsia="楷体_GB2312" w:cs="Times New Roman"/>
          <w:b/>
          <w:bCs/>
          <w:color w:val="00B050"/>
          <w:sz w:val="28"/>
          <w:szCs w:val="28"/>
          <w:lang w:val="en-US" w:eastAsia="zh-CN"/>
        </w:rPr>
      </w:pPr>
    </w:p>
    <w:p w14:paraId="67234602">
      <w:pPr>
        <w:keepNext w:val="0"/>
        <w:keepLines w:val="0"/>
        <w:pageBreakBefore w:val="0"/>
        <w:widowControl w:val="0"/>
        <w:kinsoku/>
        <w:wordWrap/>
        <w:overflowPunct/>
        <w:topLinePunct w:val="0"/>
        <w:autoSpaceDE/>
        <w:autoSpaceDN/>
        <w:bidi w:val="0"/>
        <w:adjustRightInd/>
        <w:snapToGrid/>
        <w:spacing w:line="560" w:lineRule="exact"/>
        <w:ind w:left="0" w:leftChars="0" w:firstLine="281" w:firstLineChars="100"/>
        <w:textAlignment w:val="auto"/>
        <w:rPr>
          <w:rFonts w:hint="eastAsia" w:ascii="Times New Roman" w:hAnsi="Times New Roman" w:eastAsia="楷体_GB2312" w:cs="Times New Roman"/>
          <w:b/>
          <w:bCs/>
          <w:color w:val="00B050"/>
          <w:sz w:val="28"/>
          <w:szCs w:val="28"/>
          <w:lang w:val="en-US" w:eastAsia="zh-CN"/>
        </w:rPr>
      </w:pPr>
    </w:p>
    <w:p w14:paraId="7E56442A">
      <w:pPr>
        <w:keepNext w:val="0"/>
        <w:keepLines w:val="0"/>
        <w:pageBreakBefore w:val="0"/>
        <w:widowControl w:val="0"/>
        <w:kinsoku/>
        <w:wordWrap/>
        <w:overflowPunct/>
        <w:topLinePunct w:val="0"/>
        <w:autoSpaceDE/>
        <w:autoSpaceDN/>
        <w:bidi w:val="0"/>
        <w:adjustRightInd/>
        <w:snapToGrid/>
        <w:spacing w:line="560" w:lineRule="exact"/>
        <w:ind w:left="0" w:leftChars="0" w:firstLine="281" w:firstLineChars="100"/>
        <w:textAlignment w:val="auto"/>
        <w:rPr>
          <w:rFonts w:hint="eastAsia" w:ascii="Times New Roman" w:hAnsi="Times New Roman" w:eastAsia="楷体_GB2312" w:cs="Times New Roman"/>
          <w:b/>
          <w:bCs/>
          <w:color w:val="00B050"/>
          <w:sz w:val="28"/>
          <w:szCs w:val="28"/>
          <w:lang w:val="en-US" w:eastAsia="zh-CN"/>
        </w:rPr>
      </w:pPr>
    </w:p>
    <w:p w14:paraId="7A64D2FA">
      <w:pPr>
        <w:keepNext w:val="0"/>
        <w:keepLines w:val="0"/>
        <w:pageBreakBefore w:val="0"/>
        <w:widowControl w:val="0"/>
        <w:kinsoku/>
        <w:wordWrap/>
        <w:overflowPunct/>
        <w:topLinePunct w:val="0"/>
        <w:autoSpaceDE/>
        <w:autoSpaceDN/>
        <w:bidi w:val="0"/>
        <w:adjustRightInd/>
        <w:snapToGrid/>
        <w:spacing w:line="560" w:lineRule="exact"/>
        <w:ind w:left="0" w:leftChars="0" w:firstLine="281" w:firstLineChars="100"/>
        <w:textAlignment w:val="auto"/>
        <w:rPr>
          <w:rFonts w:hint="eastAsia" w:ascii="Times New Roman" w:hAnsi="Times New Roman" w:eastAsia="楷体_GB2312" w:cs="Times New Roman"/>
          <w:b/>
          <w:bCs/>
          <w:color w:val="00B050"/>
          <w:sz w:val="28"/>
          <w:szCs w:val="28"/>
          <w:lang w:val="en-US" w:eastAsia="zh-CN"/>
        </w:rPr>
      </w:pPr>
    </w:p>
    <w:p w14:paraId="2BC6AD8E">
      <w:pPr>
        <w:keepNext w:val="0"/>
        <w:keepLines w:val="0"/>
        <w:pageBreakBefore w:val="0"/>
        <w:widowControl w:val="0"/>
        <w:kinsoku/>
        <w:wordWrap/>
        <w:overflowPunct/>
        <w:topLinePunct w:val="0"/>
        <w:autoSpaceDE/>
        <w:autoSpaceDN/>
        <w:bidi w:val="0"/>
        <w:adjustRightInd/>
        <w:snapToGrid/>
        <w:spacing w:line="560" w:lineRule="exact"/>
        <w:ind w:left="0" w:leftChars="0" w:firstLine="281" w:firstLineChars="100"/>
        <w:textAlignment w:val="auto"/>
        <w:rPr>
          <w:rFonts w:hint="eastAsia" w:ascii="Times New Roman" w:hAnsi="Times New Roman" w:eastAsia="楷体_GB2312" w:cs="Times New Roman"/>
          <w:b/>
          <w:bCs/>
          <w:color w:val="00B050"/>
          <w:sz w:val="28"/>
          <w:szCs w:val="28"/>
          <w:lang w:val="en-US" w:eastAsia="zh-CN"/>
        </w:rPr>
      </w:pPr>
    </w:p>
    <w:p w14:paraId="0551D698">
      <w:pPr>
        <w:keepNext w:val="0"/>
        <w:keepLines w:val="0"/>
        <w:pageBreakBefore w:val="0"/>
        <w:widowControl w:val="0"/>
        <w:kinsoku/>
        <w:wordWrap/>
        <w:overflowPunct/>
        <w:topLinePunct w:val="0"/>
        <w:autoSpaceDE/>
        <w:autoSpaceDN/>
        <w:bidi w:val="0"/>
        <w:adjustRightInd/>
        <w:snapToGrid/>
        <w:spacing w:line="560" w:lineRule="exact"/>
        <w:ind w:left="0" w:leftChars="0" w:firstLine="281" w:firstLineChars="100"/>
        <w:textAlignment w:val="auto"/>
        <w:rPr>
          <w:rFonts w:hint="eastAsia" w:ascii="Times New Roman" w:hAnsi="Times New Roman" w:eastAsia="楷体_GB2312" w:cs="Times New Roman"/>
          <w:b/>
          <w:bCs/>
          <w:color w:val="00B050"/>
          <w:sz w:val="28"/>
          <w:szCs w:val="28"/>
          <w:lang w:val="en-US" w:eastAsia="zh-CN"/>
        </w:rPr>
      </w:pPr>
    </w:p>
    <w:p w14:paraId="2491EC1A">
      <w:pPr>
        <w:keepNext w:val="0"/>
        <w:keepLines w:val="0"/>
        <w:pageBreakBefore w:val="0"/>
        <w:widowControl w:val="0"/>
        <w:kinsoku/>
        <w:wordWrap/>
        <w:overflowPunct/>
        <w:topLinePunct w:val="0"/>
        <w:autoSpaceDE/>
        <w:autoSpaceDN/>
        <w:bidi w:val="0"/>
        <w:adjustRightInd/>
        <w:snapToGrid/>
        <w:spacing w:line="560" w:lineRule="exact"/>
        <w:ind w:left="0" w:leftChars="0" w:firstLine="281" w:firstLineChars="100"/>
        <w:textAlignment w:val="auto"/>
        <w:rPr>
          <w:rFonts w:hint="eastAsia" w:ascii="Times New Roman" w:hAnsi="Times New Roman" w:eastAsia="楷体_GB2312" w:cs="Times New Roman"/>
          <w:b/>
          <w:bCs/>
          <w:color w:val="00B050"/>
          <w:sz w:val="28"/>
          <w:szCs w:val="28"/>
          <w:lang w:val="en-US" w:eastAsia="zh-CN"/>
        </w:rPr>
      </w:pPr>
    </w:p>
    <w:p w14:paraId="5EC0618C">
      <w:pPr>
        <w:keepNext w:val="0"/>
        <w:keepLines w:val="0"/>
        <w:pageBreakBefore w:val="0"/>
        <w:widowControl w:val="0"/>
        <w:kinsoku/>
        <w:wordWrap/>
        <w:overflowPunct/>
        <w:topLinePunct w:val="0"/>
        <w:autoSpaceDE/>
        <w:autoSpaceDN/>
        <w:bidi w:val="0"/>
        <w:adjustRightInd/>
        <w:snapToGrid/>
        <w:spacing w:line="560" w:lineRule="exact"/>
        <w:ind w:left="0" w:leftChars="0" w:firstLine="281" w:firstLineChars="100"/>
        <w:textAlignment w:val="auto"/>
        <w:rPr>
          <w:rFonts w:hint="eastAsia" w:ascii="Times New Roman" w:hAnsi="Times New Roman" w:eastAsia="楷体_GB2312" w:cs="Times New Roman"/>
          <w:b/>
          <w:bCs/>
          <w:color w:val="00B050"/>
          <w:sz w:val="28"/>
          <w:szCs w:val="28"/>
          <w:lang w:val="en-US" w:eastAsia="zh-CN"/>
        </w:rPr>
      </w:pPr>
    </w:p>
    <w:p w14:paraId="126C7F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b/>
          <w:bCs/>
          <w:color w:val="00B050"/>
          <w:sz w:val="28"/>
          <w:szCs w:val="28"/>
          <w:lang w:val="en-US" w:eastAsia="zh-CN"/>
        </w:rPr>
      </w:pPr>
    </w:p>
    <w:p w14:paraId="616E8B9B">
      <w:pPr>
        <w:keepNext w:val="0"/>
        <w:keepLines w:val="0"/>
        <w:pageBreakBefore w:val="0"/>
        <w:widowControl w:val="0"/>
        <w:kinsoku/>
        <w:wordWrap/>
        <w:overflowPunct/>
        <w:topLinePunct w:val="0"/>
        <w:autoSpaceDE/>
        <w:autoSpaceDN/>
        <w:bidi w:val="0"/>
        <w:adjustRightInd/>
        <w:snapToGrid/>
        <w:spacing w:line="560" w:lineRule="exact"/>
        <w:ind w:left="249" w:leftChars="0" w:right="0" w:rightChars="0" w:hanging="249" w:hangingChars="78"/>
        <w:jc w:val="both"/>
        <w:textAlignment w:val="auto"/>
        <w:outlineLvl w:val="9"/>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附件2</w:t>
      </w:r>
    </w:p>
    <w:p w14:paraId="3004E7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复函材料声明函</w:t>
      </w:r>
    </w:p>
    <w:p w14:paraId="698BAAAE">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新宋体" w:eastAsia="仿宋_GB2312" w:cs="新宋体"/>
          <w:color w:val="auto"/>
          <w:kern w:val="2"/>
          <w:sz w:val="32"/>
          <w:szCs w:val="32"/>
          <w:lang w:val="en-US" w:eastAsia="zh-CN" w:bidi="ar-SA"/>
        </w:rPr>
      </w:pPr>
    </w:p>
    <w:p w14:paraId="63B9CF37">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新宋体" w:eastAsia="仿宋_GB2312" w:cs="新宋体"/>
          <w:color w:val="auto"/>
          <w:kern w:val="2"/>
          <w:sz w:val="32"/>
          <w:szCs w:val="32"/>
          <w:lang w:val="en-US" w:eastAsia="zh-CN" w:bidi="ar-SA"/>
        </w:rPr>
      </w:pPr>
      <w:r>
        <w:rPr>
          <w:rFonts w:hint="eastAsia" w:ascii="仿宋_GB2312" w:hAnsi="新宋体" w:eastAsia="仿宋_GB2312" w:cs="新宋体"/>
          <w:color w:val="auto"/>
          <w:kern w:val="2"/>
          <w:sz w:val="32"/>
          <w:szCs w:val="32"/>
          <w:lang w:val="en-US" w:eastAsia="zh-CN" w:bidi="ar-SA"/>
        </w:rPr>
        <w:t>梧州市工人医院：</w:t>
      </w:r>
    </w:p>
    <w:p w14:paraId="1B9C2DB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新宋体" w:eastAsia="仿宋_GB2312" w:cs="新宋体"/>
          <w:color w:val="auto"/>
          <w:kern w:val="2"/>
          <w:sz w:val="32"/>
          <w:szCs w:val="32"/>
          <w:lang w:val="en-US" w:eastAsia="zh-CN" w:bidi="ar-SA"/>
        </w:rPr>
      </w:pPr>
      <w:r>
        <w:rPr>
          <w:rFonts w:hint="eastAsia" w:ascii="仿宋_GB2312" w:hAnsi="新宋体" w:eastAsia="仿宋_GB2312" w:cs="新宋体"/>
          <w:color w:val="auto"/>
          <w:kern w:val="2"/>
          <w:sz w:val="32"/>
          <w:szCs w:val="32"/>
          <w:lang w:val="en-US" w:eastAsia="zh-CN" w:bidi="ar-SA"/>
        </w:rPr>
        <w:t>我公司已认真阅读了贵院此次编制的“梧州市工人医院2025年度医疗责任保险”采购项目需求公告，充分知悉并了解了贵院采购需求调查内容信息。我方同意贵方无偿采用我方提交的全部或部分采购需求调查材料作为贵方采购需求的内容，并且无需贵方承担任何责任。</w:t>
      </w:r>
    </w:p>
    <w:p w14:paraId="2E88F23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新宋体" w:eastAsia="仿宋_GB2312" w:cs="新宋体"/>
          <w:color w:val="auto"/>
          <w:kern w:val="2"/>
          <w:sz w:val="32"/>
          <w:szCs w:val="32"/>
          <w:lang w:val="en-US" w:eastAsia="zh-CN" w:bidi="ar-SA"/>
        </w:rPr>
      </w:pPr>
      <w:r>
        <w:rPr>
          <w:rFonts w:hint="eastAsia" w:ascii="仿宋_GB2312" w:hAnsi="新宋体" w:eastAsia="仿宋_GB2312" w:cs="新宋体"/>
          <w:color w:val="auto"/>
          <w:kern w:val="2"/>
          <w:sz w:val="32"/>
          <w:szCs w:val="32"/>
          <w:lang w:val="en-US" w:eastAsia="zh-CN" w:bidi="ar-SA"/>
        </w:rPr>
        <w:t>本公司将严格遵守上述事项，对所提供的所有材料真实性负责。</w:t>
      </w:r>
    </w:p>
    <w:p w14:paraId="179EC07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新宋体" w:eastAsia="仿宋_GB2312" w:cs="新宋体"/>
          <w:color w:val="auto"/>
          <w:kern w:val="2"/>
          <w:sz w:val="32"/>
          <w:szCs w:val="32"/>
          <w:lang w:val="en-US" w:eastAsia="zh-CN" w:bidi="ar-SA"/>
        </w:rPr>
      </w:pPr>
    </w:p>
    <w:p w14:paraId="39A2FA1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新宋体" w:eastAsia="仿宋_GB2312" w:cs="新宋体"/>
          <w:color w:val="auto"/>
          <w:kern w:val="2"/>
          <w:sz w:val="32"/>
          <w:szCs w:val="32"/>
          <w:lang w:val="en-US" w:eastAsia="zh-CN" w:bidi="ar-SA"/>
        </w:rPr>
      </w:pPr>
    </w:p>
    <w:p w14:paraId="7D53AF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0" w:firstLineChars="1500"/>
        <w:jc w:val="both"/>
        <w:textAlignment w:val="auto"/>
        <w:outlineLvl w:val="9"/>
        <w:rPr>
          <w:rFonts w:hint="eastAsia" w:ascii="仿宋_GB2312" w:hAnsi="新宋体" w:eastAsia="仿宋_GB2312" w:cs="新宋体"/>
          <w:color w:val="auto"/>
          <w:kern w:val="2"/>
          <w:sz w:val="32"/>
          <w:szCs w:val="32"/>
          <w:lang w:val="en-US" w:eastAsia="zh-CN" w:bidi="ar-SA"/>
        </w:rPr>
      </w:pPr>
      <w:r>
        <w:rPr>
          <w:rFonts w:hint="eastAsia" w:ascii="仿宋_GB2312" w:hAnsi="新宋体" w:eastAsia="仿宋_GB2312" w:cs="新宋体"/>
          <w:color w:val="auto"/>
          <w:kern w:val="2"/>
          <w:sz w:val="32"/>
          <w:szCs w:val="32"/>
          <w:lang w:val="en-US" w:eastAsia="zh-CN" w:bidi="ar-SA"/>
        </w:rPr>
        <w:t xml:space="preserve">单位名称（盖章）：          </w:t>
      </w:r>
    </w:p>
    <w:p w14:paraId="2D24BC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0" w:firstLineChars="1500"/>
        <w:jc w:val="both"/>
        <w:textAlignment w:val="auto"/>
        <w:outlineLvl w:val="9"/>
        <w:rPr>
          <w:rFonts w:hint="eastAsia" w:ascii="仿宋_GB2312" w:hAnsi="新宋体" w:eastAsia="仿宋_GB2312" w:cs="新宋体"/>
          <w:color w:val="auto"/>
          <w:kern w:val="2"/>
          <w:sz w:val="32"/>
          <w:szCs w:val="32"/>
          <w:lang w:val="en-US" w:eastAsia="zh-CN" w:bidi="ar-SA"/>
        </w:rPr>
      </w:pPr>
      <w:r>
        <w:rPr>
          <w:rFonts w:hint="eastAsia" w:ascii="仿宋_GB2312" w:hAnsi="新宋体" w:eastAsia="仿宋_GB2312" w:cs="新宋体"/>
          <w:color w:val="auto"/>
          <w:kern w:val="2"/>
          <w:sz w:val="32"/>
          <w:szCs w:val="32"/>
          <w:lang w:val="en-US" w:eastAsia="zh-CN" w:bidi="ar-SA"/>
        </w:rPr>
        <w:t xml:space="preserve">联系人：             </w:t>
      </w:r>
    </w:p>
    <w:p w14:paraId="2886118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0" w:firstLineChars="1500"/>
        <w:jc w:val="both"/>
        <w:textAlignment w:val="auto"/>
        <w:outlineLvl w:val="9"/>
        <w:rPr>
          <w:rFonts w:hint="eastAsia" w:ascii="仿宋_GB2312" w:hAnsi="新宋体" w:eastAsia="仿宋_GB2312" w:cs="新宋体"/>
          <w:color w:val="auto"/>
          <w:kern w:val="2"/>
          <w:sz w:val="32"/>
          <w:szCs w:val="32"/>
          <w:lang w:val="en-US" w:eastAsia="zh-CN" w:bidi="ar-SA"/>
        </w:rPr>
      </w:pPr>
      <w:r>
        <w:rPr>
          <w:rFonts w:hint="eastAsia" w:ascii="仿宋_GB2312" w:hAnsi="新宋体" w:eastAsia="仿宋_GB2312" w:cs="新宋体"/>
          <w:color w:val="auto"/>
          <w:kern w:val="2"/>
          <w:sz w:val="32"/>
          <w:szCs w:val="32"/>
          <w:lang w:val="en-US" w:eastAsia="zh-CN" w:bidi="ar-SA"/>
        </w:rPr>
        <w:t xml:space="preserve">联系电话：           </w:t>
      </w:r>
    </w:p>
    <w:p w14:paraId="4ACB0BCE">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4800" w:firstLineChars="1500"/>
        <w:jc w:val="left"/>
        <w:textAlignment w:val="auto"/>
        <w:rPr>
          <w:rFonts w:hint="eastAsia" w:ascii="仿宋_GB2312" w:hAnsi="新宋体" w:eastAsia="仿宋_GB2312" w:cs="新宋体"/>
          <w:b/>
          <w:bCs/>
          <w:color w:val="00B050"/>
          <w:kern w:val="2"/>
          <w:sz w:val="28"/>
          <w:szCs w:val="28"/>
          <w:lang w:val="en-US" w:eastAsia="zh-CN" w:bidi="ar-SA"/>
        </w:rPr>
      </w:pPr>
      <w:r>
        <w:rPr>
          <w:rFonts w:hint="eastAsia" w:ascii="仿宋_GB2312" w:hAnsi="新宋体" w:eastAsia="仿宋_GB2312" w:cs="新宋体"/>
          <w:color w:val="auto"/>
          <w:kern w:val="2"/>
          <w:sz w:val="32"/>
          <w:szCs w:val="32"/>
          <w:lang w:val="en-US" w:eastAsia="zh-CN" w:bidi="ar-SA"/>
        </w:rPr>
        <w:t>日    期：    年   月   日</w:t>
      </w:r>
    </w:p>
    <w:p w14:paraId="65D70A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val="0"/>
          <w:bCs w:val="0"/>
          <w:color w:val="auto"/>
          <w:kern w:val="2"/>
          <w:sz w:val="32"/>
          <w:szCs w:val="32"/>
          <w:lang w:val="en-US" w:eastAsia="zh-CN" w:bidi="ar-SA"/>
        </w:rPr>
      </w:pPr>
    </w:p>
    <w:p w14:paraId="688CF48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val="0"/>
          <w:bCs w:val="0"/>
          <w:color w:val="auto"/>
          <w:kern w:val="2"/>
          <w:sz w:val="32"/>
          <w:szCs w:val="32"/>
          <w:lang w:val="en-US" w:eastAsia="zh-CN" w:bidi="ar-SA"/>
        </w:rPr>
      </w:pPr>
    </w:p>
    <w:p w14:paraId="6160DA3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val="0"/>
          <w:bCs w:val="0"/>
          <w:color w:val="auto"/>
          <w:kern w:val="2"/>
          <w:sz w:val="32"/>
          <w:szCs w:val="32"/>
          <w:lang w:val="en-US" w:eastAsia="zh-CN" w:bidi="ar-SA"/>
        </w:rPr>
      </w:pPr>
    </w:p>
    <w:p w14:paraId="1F090B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val="0"/>
          <w:bCs w:val="0"/>
          <w:color w:val="auto"/>
          <w:kern w:val="2"/>
          <w:sz w:val="32"/>
          <w:szCs w:val="32"/>
          <w:lang w:val="en-US" w:eastAsia="zh-CN" w:bidi="ar-SA"/>
        </w:rPr>
      </w:pPr>
    </w:p>
    <w:p w14:paraId="62E2E0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val="0"/>
          <w:bCs w:val="0"/>
          <w:color w:val="auto"/>
          <w:kern w:val="2"/>
          <w:sz w:val="32"/>
          <w:szCs w:val="32"/>
          <w:lang w:val="en-US" w:eastAsia="zh-CN" w:bidi="ar-SA"/>
        </w:rPr>
      </w:pPr>
    </w:p>
    <w:p w14:paraId="4F4517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val="0"/>
          <w:bCs w:val="0"/>
          <w:color w:val="auto"/>
          <w:kern w:val="2"/>
          <w:sz w:val="32"/>
          <w:szCs w:val="32"/>
          <w:lang w:val="en-US" w:eastAsia="zh-CN" w:bidi="ar-SA"/>
        </w:rPr>
      </w:pPr>
    </w:p>
    <w:p w14:paraId="6C8FA4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val="0"/>
          <w:bCs w:val="0"/>
          <w:color w:val="auto"/>
          <w:kern w:val="2"/>
          <w:sz w:val="32"/>
          <w:szCs w:val="32"/>
          <w:lang w:val="en-US" w:eastAsia="zh-CN" w:bidi="ar-SA"/>
        </w:rPr>
      </w:pPr>
    </w:p>
    <w:p w14:paraId="5B261F9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val="0"/>
          <w:bCs w:val="0"/>
          <w:color w:val="auto"/>
          <w:kern w:val="2"/>
          <w:sz w:val="32"/>
          <w:szCs w:val="32"/>
          <w:lang w:val="en-US" w:eastAsia="zh-CN" w:bidi="ar-SA"/>
        </w:rPr>
      </w:pPr>
    </w:p>
    <w:p w14:paraId="4184E9B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val="0"/>
          <w:bCs w:val="0"/>
          <w:color w:val="auto"/>
          <w:kern w:val="2"/>
          <w:sz w:val="32"/>
          <w:szCs w:val="32"/>
          <w:lang w:val="en-US" w:eastAsia="zh-CN" w:bidi="ar-SA"/>
        </w:rPr>
      </w:pPr>
    </w:p>
    <w:p w14:paraId="0195089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val="0"/>
          <w:bCs w:val="0"/>
          <w:color w:val="auto"/>
          <w:kern w:val="2"/>
          <w:sz w:val="32"/>
          <w:szCs w:val="32"/>
          <w:lang w:val="en-US" w:eastAsia="zh-CN" w:bidi="ar-SA"/>
        </w:rPr>
      </w:pPr>
    </w:p>
    <w:p w14:paraId="2EA572C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附件3</w:t>
      </w:r>
    </w:p>
    <w:p w14:paraId="6A5F1F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2025年度医疗责任保险</w:t>
      </w:r>
      <w:r>
        <w:rPr>
          <w:rFonts w:hint="eastAsia" w:ascii="方正小标宋简体" w:hAnsi="方正小标宋简体" w:eastAsia="方正小标宋简体" w:cs="方正小标宋简体"/>
          <w:b w:val="0"/>
          <w:bCs w:val="0"/>
          <w:color w:val="auto"/>
          <w:sz w:val="44"/>
          <w:szCs w:val="44"/>
        </w:rPr>
        <w:t>需求参数</w:t>
      </w:r>
    </w:p>
    <w:p w14:paraId="31C3982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p>
    <w:p w14:paraId="511D80CE">
      <w:pPr>
        <w:pStyle w:val="2"/>
        <w:keepNext w:val="0"/>
        <w:keepLines w:val="0"/>
        <w:pageBreakBefore w:val="0"/>
        <w:numPr>
          <w:ilvl w:val="0"/>
          <w:numId w:val="1"/>
        </w:numPr>
        <w:kinsoku/>
        <w:wordWrap/>
        <w:overflowPunct/>
        <w:topLinePunct w:val="0"/>
        <w:autoSpaceDE/>
        <w:autoSpaceDN/>
        <w:bidi w:val="0"/>
        <w:adjustRightInd/>
        <w:snapToGrid/>
        <w:spacing w:line="560" w:lineRule="exact"/>
        <w:jc w:val="left"/>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保险险种：</w:t>
      </w:r>
    </w:p>
    <w:p w14:paraId="6B1D111E">
      <w:pPr>
        <w:pStyle w:val="2"/>
        <w:keepNext w:val="0"/>
        <w:keepLines w:val="0"/>
        <w:pageBreakBefore w:val="0"/>
        <w:kinsoku/>
        <w:wordWrap/>
        <w:overflowPunct/>
        <w:topLinePunct w:val="0"/>
        <w:autoSpaceDE/>
        <w:autoSpaceDN/>
        <w:bidi w:val="0"/>
        <w:adjustRightInd/>
        <w:snapToGrid/>
        <w:spacing w:before="208" w:line="560" w:lineRule="exact"/>
        <w:ind w:right="93" w:firstLine="640" w:firstLineChars="200"/>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主险：医疗责任保险   附加险：无</w:t>
      </w:r>
    </w:p>
    <w:p w14:paraId="7170F05D">
      <w:pPr>
        <w:pStyle w:val="2"/>
        <w:keepNext w:val="0"/>
        <w:keepLines w:val="0"/>
        <w:pageBreakBefore w:val="0"/>
        <w:numPr>
          <w:ilvl w:val="0"/>
          <w:numId w:val="1"/>
        </w:numPr>
        <w:kinsoku/>
        <w:wordWrap/>
        <w:overflowPunct/>
        <w:topLinePunct w:val="0"/>
        <w:autoSpaceDE/>
        <w:autoSpaceDN/>
        <w:bidi w:val="0"/>
        <w:adjustRightInd/>
        <w:snapToGrid/>
        <w:spacing w:before="31" w:line="560" w:lineRule="exact"/>
        <w:ind w:left="0" w:leftChars="0" w:firstLine="0" w:firstLineChars="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保险年限：</w:t>
      </w:r>
    </w:p>
    <w:p w14:paraId="438FCC59">
      <w:pPr>
        <w:pStyle w:val="2"/>
        <w:keepNext w:val="0"/>
        <w:keepLines w:val="0"/>
        <w:pageBreakBefore w:val="0"/>
        <w:numPr>
          <w:ilvl w:val="0"/>
          <w:numId w:val="0"/>
        </w:numPr>
        <w:kinsoku/>
        <w:wordWrap/>
        <w:overflowPunct/>
        <w:topLinePunct w:val="0"/>
        <w:autoSpaceDE/>
        <w:autoSpaceDN/>
        <w:bidi w:val="0"/>
        <w:adjustRightInd/>
        <w:snapToGrid/>
        <w:spacing w:before="31" w:line="560" w:lineRule="exact"/>
        <w:ind w:leftChars="0" w:firstLine="640" w:firstLineChars="200"/>
        <w:rPr>
          <w:rFonts w:hint="default" w:ascii="黑体" w:hAnsi="黑体" w:eastAsia="黑体" w:cs="黑体"/>
          <w:b w:val="0"/>
          <w:bCs w:val="0"/>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一年</w:t>
      </w:r>
    </w:p>
    <w:p w14:paraId="1CD371D9">
      <w:pPr>
        <w:pStyle w:val="2"/>
        <w:keepNext w:val="0"/>
        <w:keepLines w:val="0"/>
        <w:pageBreakBefore w:val="0"/>
        <w:kinsoku/>
        <w:wordWrap/>
        <w:overflowPunct/>
        <w:topLinePunct w:val="0"/>
        <w:autoSpaceDE/>
        <w:autoSpaceDN/>
        <w:bidi w:val="0"/>
        <w:adjustRightInd/>
        <w:snapToGrid/>
        <w:spacing w:before="31" w:line="560" w:lineRule="exact"/>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三、保险保障内容及保险费用</w:t>
      </w:r>
    </w:p>
    <w:p w14:paraId="5EC61E46">
      <w:pPr>
        <w:pStyle w:val="2"/>
        <w:keepNext w:val="0"/>
        <w:keepLines w:val="0"/>
        <w:pageBreakBefore w:val="0"/>
        <w:kinsoku/>
        <w:wordWrap/>
        <w:overflowPunct/>
        <w:topLinePunct w:val="0"/>
        <w:autoSpaceDE/>
        <w:autoSpaceDN/>
        <w:bidi w:val="0"/>
        <w:adjustRightInd/>
        <w:snapToGrid/>
        <w:spacing w:before="208" w:line="560" w:lineRule="exact"/>
        <w:ind w:right="93" w:firstLine="53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（一）医疗责任每人赔偿限额：30万元；</w:t>
      </w:r>
    </w:p>
    <w:p w14:paraId="0D294F93">
      <w:pPr>
        <w:pStyle w:val="2"/>
        <w:keepNext w:val="0"/>
        <w:keepLines w:val="0"/>
        <w:pageBreakBefore w:val="0"/>
        <w:kinsoku/>
        <w:wordWrap/>
        <w:overflowPunct/>
        <w:topLinePunct w:val="0"/>
        <w:autoSpaceDE/>
        <w:autoSpaceDN/>
        <w:bidi w:val="0"/>
        <w:adjustRightInd/>
        <w:snapToGrid/>
        <w:spacing w:before="208" w:line="560" w:lineRule="exact"/>
        <w:ind w:right="93" w:firstLine="53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（二）医疗责任累计赔偿限额：200万元；</w:t>
      </w:r>
    </w:p>
    <w:p w14:paraId="065CA4FF">
      <w:pPr>
        <w:pStyle w:val="2"/>
        <w:keepNext w:val="0"/>
        <w:keepLines w:val="0"/>
        <w:pageBreakBefore w:val="0"/>
        <w:kinsoku/>
        <w:wordWrap/>
        <w:overflowPunct/>
        <w:topLinePunct w:val="0"/>
        <w:autoSpaceDE/>
        <w:autoSpaceDN/>
        <w:bidi w:val="0"/>
        <w:adjustRightInd/>
        <w:snapToGrid/>
        <w:spacing w:before="208" w:line="560" w:lineRule="exact"/>
        <w:ind w:right="93" w:firstLine="53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（三）法律费用累计赔偿限额：30万元；</w:t>
      </w:r>
    </w:p>
    <w:p w14:paraId="5EFD5DAD">
      <w:pPr>
        <w:pStyle w:val="2"/>
        <w:keepNext w:val="0"/>
        <w:keepLines w:val="0"/>
        <w:pageBreakBefore w:val="0"/>
        <w:kinsoku/>
        <w:wordWrap/>
        <w:overflowPunct/>
        <w:topLinePunct w:val="0"/>
        <w:autoSpaceDE/>
        <w:autoSpaceDN/>
        <w:bidi w:val="0"/>
        <w:adjustRightInd/>
        <w:snapToGrid/>
        <w:spacing w:before="208" w:line="560" w:lineRule="exact"/>
        <w:ind w:right="93" w:firstLine="53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（四）法律费用每次索赔赔偿限额：4.5 万元；</w:t>
      </w:r>
    </w:p>
    <w:p w14:paraId="61285C9F">
      <w:pPr>
        <w:pStyle w:val="2"/>
        <w:keepNext w:val="0"/>
        <w:keepLines w:val="0"/>
        <w:pageBreakBefore w:val="0"/>
        <w:kinsoku/>
        <w:wordWrap/>
        <w:overflowPunct/>
        <w:topLinePunct w:val="0"/>
        <w:autoSpaceDE/>
        <w:autoSpaceDN/>
        <w:bidi w:val="0"/>
        <w:adjustRightInd/>
        <w:snapToGrid/>
        <w:spacing w:before="208" w:line="560" w:lineRule="exact"/>
        <w:ind w:right="93" w:firstLine="53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（五）精神损害每人责任限额：9万元；</w:t>
      </w:r>
    </w:p>
    <w:p w14:paraId="74269C70">
      <w:pPr>
        <w:pStyle w:val="2"/>
        <w:keepNext w:val="0"/>
        <w:keepLines w:val="0"/>
        <w:pageBreakBefore w:val="0"/>
        <w:kinsoku/>
        <w:wordWrap/>
        <w:overflowPunct/>
        <w:topLinePunct w:val="0"/>
        <w:autoSpaceDE/>
        <w:autoSpaceDN/>
        <w:bidi w:val="0"/>
        <w:adjustRightInd/>
        <w:snapToGrid/>
        <w:spacing w:before="208" w:line="560" w:lineRule="exact"/>
        <w:ind w:right="93" w:firstLine="53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（六）医疗意外责任限额：每人责任限额为医疗责任每人责任限额的35%，并包含在医疗责任每人责任限额内。年度累计责任限额为医疗责任年度累计责任限额的35%，并包含在医疗责任年度责任限额内。</w:t>
      </w:r>
    </w:p>
    <w:p w14:paraId="4E470AAC">
      <w:pPr>
        <w:pStyle w:val="2"/>
        <w:keepNext w:val="0"/>
        <w:keepLines w:val="0"/>
        <w:pageBreakBefore w:val="0"/>
        <w:kinsoku/>
        <w:wordWrap/>
        <w:overflowPunct/>
        <w:topLinePunct w:val="0"/>
        <w:autoSpaceDE/>
        <w:autoSpaceDN/>
        <w:bidi w:val="0"/>
        <w:adjustRightInd/>
        <w:snapToGrid/>
        <w:spacing w:before="31" w:line="560" w:lineRule="exact"/>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四、保险限额说明：</w:t>
      </w:r>
    </w:p>
    <w:p w14:paraId="02E3B354">
      <w:pPr>
        <w:pStyle w:val="2"/>
        <w:keepNext w:val="0"/>
        <w:keepLines w:val="0"/>
        <w:pageBreakBefore w:val="0"/>
        <w:kinsoku/>
        <w:wordWrap/>
        <w:overflowPunct/>
        <w:topLinePunct w:val="0"/>
        <w:autoSpaceDE/>
        <w:autoSpaceDN/>
        <w:bidi w:val="0"/>
        <w:adjustRightInd/>
        <w:snapToGrid/>
        <w:spacing w:before="208" w:line="560" w:lineRule="exact"/>
        <w:ind w:right="93" w:firstLine="53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(一)医疗责任每人赔偿限额是指在保险年度内，被保险医疗机构造成每一名患者人身损害，在保险责任范围内获得的最高赔偿金额。</w:t>
      </w:r>
    </w:p>
    <w:p w14:paraId="6C2C28C6">
      <w:pPr>
        <w:pStyle w:val="2"/>
        <w:keepNext w:val="0"/>
        <w:keepLines w:val="0"/>
        <w:pageBreakBefore w:val="0"/>
        <w:kinsoku/>
        <w:wordWrap/>
        <w:overflowPunct/>
        <w:topLinePunct w:val="0"/>
        <w:autoSpaceDE/>
        <w:autoSpaceDN/>
        <w:bidi w:val="0"/>
        <w:adjustRightInd/>
        <w:snapToGrid/>
        <w:spacing w:before="178" w:line="560" w:lineRule="exact"/>
        <w:ind w:right="96" w:firstLine="53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二)医疗责任累计赔偿限额是指被保险医疗机构在保险年度内获得的最高赔偿金额。若保险年度内被保险医疗机构累计获得的赔款等于累计赔偿限额，则该医疗机构的保险单项下的相应保险责任终止。医疗机构选择的累计赔偿限额不得低于每人赔偿限额。</w:t>
      </w:r>
    </w:p>
    <w:p w14:paraId="0478B8AA">
      <w:pPr>
        <w:pStyle w:val="2"/>
        <w:keepNext w:val="0"/>
        <w:keepLines w:val="0"/>
        <w:pageBreakBefore w:val="0"/>
        <w:kinsoku/>
        <w:wordWrap/>
        <w:overflowPunct/>
        <w:topLinePunct w:val="0"/>
        <w:autoSpaceDE/>
        <w:autoSpaceDN/>
        <w:bidi w:val="0"/>
        <w:adjustRightInd/>
        <w:snapToGrid/>
        <w:spacing w:before="179" w:line="560" w:lineRule="exact"/>
        <w:ind w:right="66" w:firstLine="53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(三)法律费用累计赔偿限额为医疗责任累计赔偿限额的15%,且在医疗责任累计赔偿限额之外计算。</w:t>
      </w:r>
    </w:p>
    <w:p w14:paraId="4AF0922B">
      <w:pPr>
        <w:pStyle w:val="2"/>
        <w:keepNext w:val="0"/>
        <w:keepLines w:val="0"/>
        <w:pageBreakBefore w:val="0"/>
        <w:kinsoku/>
        <w:wordWrap/>
        <w:overflowPunct/>
        <w:topLinePunct w:val="0"/>
        <w:autoSpaceDE/>
        <w:autoSpaceDN/>
        <w:bidi w:val="0"/>
        <w:adjustRightInd/>
        <w:snapToGrid/>
        <w:spacing w:before="187" w:line="560" w:lineRule="exact"/>
        <w:ind w:right="95" w:firstLine="53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(四)法律费用每次索赔赔偿限额为医疗责任每人赔偿限额的15%,且在医疗责任累计赔偿限额之外计算。</w:t>
      </w:r>
    </w:p>
    <w:p w14:paraId="4DD1AF90">
      <w:pPr>
        <w:pStyle w:val="2"/>
        <w:keepNext w:val="0"/>
        <w:keepLines w:val="0"/>
        <w:pageBreakBefore w:val="0"/>
        <w:kinsoku/>
        <w:wordWrap/>
        <w:overflowPunct/>
        <w:topLinePunct w:val="0"/>
        <w:autoSpaceDE/>
        <w:autoSpaceDN/>
        <w:bidi w:val="0"/>
        <w:adjustRightInd/>
        <w:snapToGrid/>
        <w:spacing w:before="199" w:line="560" w:lineRule="exact"/>
        <w:ind w:right="116" w:firstLine="53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(五)精神损害每人责任限额为医疗责任每人责任限额的30%,并包含在医疗责任每人责任限额之内。</w:t>
      </w:r>
    </w:p>
    <w:p w14:paraId="07BA44D8">
      <w:pPr>
        <w:pStyle w:val="2"/>
        <w:keepNext w:val="0"/>
        <w:keepLines w:val="0"/>
        <w:pageBreakBefore w:val="0"/>
        <w:kinsoku/>
        <w:wordWrap/>
        <w:overflowPunct/>
        <w:topLinePunct w:val="0"/>
        <w:autoSpaceDE/>
        <w:autoSpaceDN/>
        <w:bidi w:val="0"/>
        <w:adjustRightInd/>
        <w:snapToGrid/>
        <w:spacing w:before="199" w:line="560" w:lineRule="exact"/>
        <w:ind w:right="116" w:firstLine="539"/>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（六）医疗意外每人责任限额为医疗责任每人责任限额的35%,并包含在医疗责任每人责任限额内。医疗意外年度累计责任限额为医疗责任年度累计责任限额的35%,并包含在医疗责任年度责任限额内。</w:t>
      </w:r>
    </w:p>
    <w:p w14:paraId="515F7B13">
      <w:pPr>
        <w:keepNext w:val="0"/>
        <w:keepLines w:val="0"/>
        <w:pageBreakBefore w:val="0"/>
        <w:widowControl w:val="0"/>
        <w:tabs>
          <w:tab w:val="left" w:pos="2953"/>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B050"/>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四、服务要求</w:t>
      </w:r>
    </w:p>
    <w:p w14:paraId="63ED3BC3">
      <w:pPr>
        <w:keepNext w:val="0"/>
        <w:keepLines w:val="0"/>
        <w:pageBreakBefore w:val="0"/>
        <w:widowControl w:val="0"/>
        <w:tabs>
          <w:tab w:val="left" w:pos="2953"/>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(一)发生保险事故后，按下列方式确定的赔偿责任、赔偿金额予以赔付：</w:t>
      </w:r>
    </w:p>
    <w:p w14:paraId="2562CDAB">
      <w:pPr>
        <w:keepNext w:val="0"/>
        <w:keepLines w:val="0"/>
        <w:pageBreakBefore w:val="0"/>
        <w:widowControl w:val="0"/>
        <w:tabs>
          <w:tab w:val="left" w:pos="2953"/>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1.医患双方协商达成的协议；</w:t>
      </w:r>
    </w:p>
    <w:p w14:paraId="001422AB">
      <w:pPr>
        <w:keepNext w:val="0"/>
        <w:keepLines w:val="0"/>
        <w:pageBreakBefore w:val="0"/>
        <w:widowControl w:val="0"/>
        <w:tabs>
          <w:tab w:val="left" w:pos="2953"/>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2.医疗纠纷人民调解委员会调解达成的调解协议；</w:t>
      </w:r>
    </w:p>
    <w:p w14:paraId="4DCC057C">
      <w:pPr>
        <w:keepNext w:val="0"/>
        <w:keepLines w:val="0"/>
        <w:pageBreakBefore w:val="0"/>
        <w:widowControl w:val="0"/>
        <w:tabs>
          <w:tab w:val="left" w:pos="2953"/>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3.人民法院裁决、判决、调解或仲裁机构裁决；</w:t>
      </w:r>
    </w:p>
    <w:p w14:paraId="517907AF">
      <w:pPr>
        <w:keepNext w:val="0"/>
        <w:keepLines w:val="0"/>
        <w:pageBreakBefore w:val="0"/>
        <w:widowControl w:val="0"/>
        <w:tabs>
          <w:tab w:val="left" w:pos="2953"/>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4.保险人认可的其它方式。</w:t>
      </w:r>
    </w:p>
    <w:p w14:paraId="6F3078DE">
      <w:pPr>
        <w:keepNext w:val="0"/>
        <w:keepLines w:val="0"/>
        <w:pageBreakBefore w:val="0"/>
        <w:widowControl w:val="0"/>
        <w:tabs>
          <w:tab w:val="left" w:pos="2953"/>
        </w:tabs>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(二)理赔</w:t>
      </w:r>
    </w:p>
    <w:p w14:paraId="02F6D7AE">
      <w:pPr>
        <w:keepNext w:val="0"/>
        <w:keepLines w:val="0"/>
        <w:pageBreakBefore w:val="0"/>
        <w:widowControl w:val="0"/>
        <w:tabs>
          <w:tab w:val="left" w:pos="2953"/>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1.对于索赔金额在人民币2万元(含)以下的案件，医患双方可直接自行协商，定责定损。理赔服务中心依据医患双方自行协商的结果直接全额定损。</w:t>
      </w:r>
    </w:p>
    <w:p w14:paraId="5D7091E6">
      <w:pPr>
        <w:keepNext w:val="0"/>
        <w:keepLines w:val="0"/>
        <w:pageBreakBefore w:val="0"/>
        <w:widowControl w:val="0"/>
        <w:tabs>
          <w:tab w:val="left" w:pos="2953"/>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索赔金额在2万元-10万元范围内(不包括10万元)的，医患双方当事人可以向广西壮族自治区内各级医疗纠纷人民调解组织、广西壮族自治区内市级或市级以上行政部门申请调解、或向人民法院提起民事诉讼等途径解决，保险人依据医调委出具的调解方案建议、法院裁定书/判决书直接全额定损。</w:t>
      </w:r>
    </w:p>
    <w:p w14:paraId="58321293">
      <w:pPr>
        <w:keepNext w:val="0"/>
        <w:keepLines w:val="0"/>
        <w:pageBreakBefore w:val="0"/>
        <w:widowControl w:val="0"/>
        <w:tabs>
          <w:tab w:val="left" w:pos="2953"/>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3.对于10万元以上的案件，原则上应根据医疗事故鉴定或司法鉴定结果进行调解和理赔；为提 高服务效率，保险人依据调解协议或经人民法院出具的裁定书/判决书，在保险责任内100%赔付。</w:t>
      </w:r>
    </w:p>
    <w:p w14:paraId="613FC062">
      <w:pPr>
        <w:keepNext w:val="0"/>
        <w:keepLines w:val="0"/>
        <w:pageBreakBefore w:val="0"/>
        <w:widowControl w:val="0"/>
        <w:tabs>
          <w:tab w:val="left" w:pos="2953"/>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对于索赔金额在2万元(含)以上，医患双方协商解决的，必须事先征得保险人同意，保险人在接到报案后5个工作日内作出理赔意见。对于未经医疗损害责任相关鉴定或未经得保险人同意，而由医患双方自行协商赔偿的，保险人有权依法重新核定该事故是否属于保险责任以及重新核定损失金额。</w:t>
      </w:r>
    </w:p>
    <w:p w14:paraId="6D3DC701">
      <w:pPr>
        <w:keepNext w:val="0"/>
        <w:keepLines w:val="0"/>
        <w:pageBreakBefore w:val="0"/>
        <w:widowControl w:val="0"/>
        <w:tabs>
          <w:tab w:val="left" w:pos="2953"/>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5.响应时限。医患双方院内调解的案件，保险人在接到完整报案材料(若保险人认为报案材料不完整的，应当在收到报案材料当日一次性书面告知需要补正的全部材料，否则视为所提供的报案材 料完整；下同)后3个工作日内完成案件的审核，并向被保险人出具《理赔意见书》;由行政调解、人民调解受理的案件，保险人在接到完整报案材料后5个工作日内完成案件的审核，并向被保险人出</w:t>
      </w:r>
    </w:p>
    <w:p w14:paraId="2B779C7C">
      <w:pPr>
        <w:keepNext w:val="0"/>
        <w:keepLines w:val="0"/>
        <w:pageBreakBefore w:val="0"/>
        <w:widowControl w:val="0"/>
        <w:tabs>
          <w:tab w:val="left" w:pos="2953"/>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具《理赔意见书》;经医疗事故鉴定、司法鉴定或法院裁判决的案件，保险人在接到完整报案材料后5个工作日内完成案件的审核，并向被保险人出具《理赔意见书》。</w:t>
      </w:r>
    </w:p>
    <w:p w14:paraId="484B80B2">
      <w:pPr>
        <w:keepNext w:val="0"/>
        <w:keepLines w:val="0"/>
        <w:pageBreakBefore w:val="0"/>
        <w:widowControl w:val="0"/>
        <w:tabs>
          <w:tab w:val="left" w:pos="2953"/>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B050"/>
          <w:sz w:val="32"/>
          <w:szCs w:val="32"/>
          <w:lang w:val="en-US" w:eastAsia="zh-CN"/>
        </w:rPr>
        <w:sectPr>
          <w:headerReference r:id="rId3" w:type="default"/>
          <w:footerReference r:id="rId4" w:type="default"/>
          <w:pgSz w:w="11940" w:h="16860"/>
          <w:pgMar w:top="887" w:right="924" w:bottom="1032" w:left="1660" w:header="658" w:footer="897" w:gutter="0"/>
          <w:cols w:space="720" w:num="1"/>
        </w:sectPr>
      </w:pPr>
      <w:r>
        <w:rPr>
          <w:rFonts w:hint="eastAsia" w:ascii="仿宋_GB2312" w:hAnsi="仿宋_GB2312" w:eastAsia="仿宋_GB2312" w:cs="仿宋_GB2312"/>
          <w:color w:val="auto"/>
          <w:sz w:val="32"/>
          <w:szCs w:val="32"/>
          <w:lang w:val="en-US" w:eastAsia="zh-CN"/>
        </w:rPr>
        <w:t>6.理赔时间。对于通过审核的案件，保险人应在接到完整理赔申请材料后3个工作日内，将赔款支付给被保人或经被保人同意的患者或其他相关利益人/法定继承人。</w:t>
      </w:r>
    </w:p>
    <w:p w14:paraId="2E3FC068">
      <w:pPr>
        <w:keepNext w:val="0"/>
        <w:keepLines w:val="0"/>
        <w:pageBreakBefore w:val="0"/>
        <w:widowControl w:val="0"/>
        <w:tabs>
          <w:tab w:val="left" w:pos="2953"/>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B050"/>
          <w:sz w:val="32"/>
          <w:szCs w:val="32"/>
          <w:lang w:val="en-US" w:eastAsia="zh-CN"/>
        </w:rPr>
      </w:pPr>
    </w:p>
    <w:sectPr>
      <w:headerReference r:id="rId5" w:type="default"/>
      <w:footerReference r:id="rId6" w:type="default"/>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C57252-F43F-4A18-BD1D-9794BA6970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256442EE-5927-433D-AD46-E0966A87A997}"/>
  </w:font>
  <w:font w:name="新宋体">
    <w:panose1 w:val="02010609030101010101"/>
    <w:charset w:val="86"/>
    <w:family w:val="modern"/>
    <w:pitch w:val="default"/>
    <w:sig w:usb0="00000203" w:usb1="288F0000" w:usb2="00000006" w:usb3="00000000" w:csb0="00040001" w:csb1="00000000"/>
    <w:embedRegular r:id="rId3" w:fontKey="{39096FC0-4766-4680-92A9-F5FE4C0D9124}"/>
  </w:font>
  <w:font w:name="仿宋_GB2312">
    <w:panose1 w:val="02010609030101010101"/>
    <w:charset w:val="86"/>
    <w:family w:val="auto"/>
    <w:pitch w:val="default"/>
    <w:sig w:usb0="00000001" w:usb1="080E0000" w:usb2="00000000" w:usb3="00000000" w:csb0="00040000" w:csb1="00000000"/>
    <w:embedRegular r:id="rId4" w:fontKey="{4584ABAB-4F32-4AA6-983B-A206F2090471}"/>
  </w:font>
  <w:font w:name="楷体_GB2312">
    <w:altName w:val="楷体"/>
    <w:panose1 w:val="02010609030101010101"/>
    <w:charset w:val="86"/>
    <w:family w:val="auto"/>
    <w:pitch w:val="default"/>
    <w:sig w:usb0="00000001" w:usb1="080E0000" w:usb2="00000000" w:usb3="00000000" w:csb0="00040000" w:csb1="00000000"/>
    <w:embedRegular r:id="rId5" w:fontKey="{2E8120C3-D1AD-4A14-B378-289DDEEED77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17215">
    <w:pPr>
      <w:spacing w:line="174" w:lineRule="auto"/>
      <w:ind w:left="4579"/>
      <w:rPr>
        <w:rFonts w:ascii="Times New Roman" w:hAnsi="Times New Roman" w:eastAsia="Times New Roman" w:cs="Times New Roman"/>
        <w:sz w:val="15"/>
        <w:szCs w:val="15"/>
      </w:rPr>
    </w:pPr>
    <w:r>
      <w:rPr>
        <w:rFonts w:ascii="Times New Roman" w:hAnsi="Times New Roman" w:eastAsia="Times New Roman" w:cs="Times New Roman"/>
        <w:sz w:val="15"/>
        <w:szCs w:val="15"/>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7642F">
    <w:pPr>
      <w:spacing w:line="174" w:lineRule="auto"/>
      <w:ind w:left="4579"/>
      <w:rPr>
        <w:rFonts w:ascii="Times New Roman" w:hAnsi="Times New Roman" w:eastAsia="Times New Roman" w:cs="Times New Roman"/>
        <w:sz w:val="15"/>
        <w:szCs w:val="15"/>
      </w:rPr>
    </w:pPr>
    <w:r>
      <w:rPr>
        <w:rFonts w:ascii="Times New Roman" w:hAnsi="Times New Roman" w:eastAsia="Times New Roman" w:cs="Times New Roman"/>
        <w:sz w:val="15"/>
        <w:szCs w:val="15"/>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BF86">
    <w:pPr>
      <w:pStyle w:val="2"/>
      <w:tabs>
        <w:tab w:val="left" w:pos="454"/>
      </w:tabs>
      <w:spacing w:before="18" w:line="176"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C1381">
    <w:pPr>
      <w:pStyle w:val="2"/>
      <w:tabs>
        <w:tab w:val="left" w:pos="454"/>
      </w:tabs>
      <w:spacing w:before="18" w:line="1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9F677C"/>
    <w:multiLevelType w:val="singleLevel"/>
    <w:tmpl w:val="EA9F67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5NmM2NzY2OTJjZGZjNzMzM2I5NWNhMzRkOTA1NDgifQ=="/>
  </w:docVars>
  <w:rsids>
    <w:rsidRoot w:val="00000000"/>
    <w:rsid w:val="00544575"/>
    <w:rsid w:val="00EA147F"/>
    <w:rsid w:val="01286976"/>
    <w:rsid w:val="016320EC"/>
    <w:rsid w:val="01747E56"/>
    <w:rsid w:val="023A64A7"/>
    <w:rsid w:val="02714EFC"/>
    <w:rsid w:val="03034482"/>
    <w:rsid w:val="04207E21"/>
    <w:rsid w:val="05D15877"/>
    <w:rsid w:val="05DB66F5"/>
    <w:rsid w:val="068648B3"/>
    <w:rsid w:val="081859DF"/>
    <w:rsid w:val="08EE04EE"/>
    <w:rsid w:val="09C217D5"/>
    <w:rsid w:val="0BD83386"/>
    <w:rsid w:val="0C085D6A"/>
    <w:rsid w:val="0DD73B2E"/>
    <w:rsid w:val="0E034A3B"/>
    <w:rsid w:val="0F1862C4"/>
    <w:rsid w:val="0FBD0C1A"/>
    <w:rsid w:val="107D3EC8"/>
    <w:rsid w:val="10EF574B"/>
    <w:rsid w:val="11943BFC"/>
    <w:rsid w:val="14F055ED"/>
    <w:rsid w:val="15565D98"/>
    <w:rsid w:val="155B6F0B"/>
    <w:rsid w:val="166766FD"/>
    <w:rsid w:val="16E36202"/>
    <w:rsid w:val="16F72C63"/>
    <w:rsid w:val="17D66D1D"/>
    <w:rsid w:val="187C14BE"/>
    <w:rsid w:val="18D75B41"/>
    <w:rsid w:val="18DA0A8E"/>
    <w:rsid w:val="196F567B"/>
    <w:rsid w:val="19AB0116"/>
    <w:rsid w:val="1ADF413A"/>
    <w:rsid w:val="1B317FD3"/>
    <w:rsid w:val="1EC34DE5"/>
    <w:rsid w:val="1F3031B6"/>
    <w:rsid w:val="1FB57B5F"/>
    <w:rsid w:val="1FD56605"/>
    <w:rsid w:val="1FE660BB"/>
    <w:rsid w:val="20915784"/>
    <w:rsid w:val="24435745"/>
    <w:rsid w:val="245E2574"/>
    <w:rsid w:val="24B14429"/>
    <w:rsid w:val="25C40AFC"/>
    <w:rsid w:val="27196C26"/>
    <w:rsid w:val="276A3393"/>
    <w:rsid w:val="28125B4F"/>
    <w:rsid w:val="28306FBE"/>
    <w:rsid w:val="285076E2"/>
    <w:rsid w:val="29495231"/>
    <w:rsid w:val="29F46D44"/>
    <w:rsid w:val="2A07545B"/>
    <w:rsid w:val="2A1C2CB5"/>
    <w:rsid w:val="2AEA53C3"/>
    <w:rsid w:val="2B807273"/>
    <w:rsid w:val="2BAC62BA"/>
    <w:rsid w:val="2BCB1C70"/>
    <w:rsid w:val="2CC13436"/>
    <w:rsid w:val="2CCD0296"/>
    <w:rsid w:val="2D766B80"/>
    <w:rsid w:val="2DB67A71"/>
    <w:rsid w:val="2ECB6A58"/>
    <w:rsid w:val="2FDD7FE0"/>
    <w:rsid w:val="2FE63F0E"/>
    <w:rsid w:val="31E64107"/>
    <w:rsid w:val="326A4C5E"/>
    <w:rsid w:val="34F32864"/>
    <w:rsid w:val="359F29EC"/>
    <w:rsid w:val="36064819"/>
    <w:rsid w:val="3608027D"/>
    <w:rsid w:val="368A41AE"/>
    <w:rsid w:val="37277507"/>
    <w:rsid w:val="37A20571"/>
    <w:rsid w:val="381F1BC2"/>
    <w:rsid w:val="38BE13DB"/>
    <w:rsid w:val="3A17490C"/>
    <w:rsid w:val="3A257582"/>
    <w:rsid w:val="3A2A31CC"/>
    <w:rsid w:val="3A2B3608"/>
    <w:rsid w:val="3B365BA1"/>
    <w:rsid w:val="3B4C6B7D"/>
    <w:rsid w:val="3B53473E"/>
    <w:rsid w:val="3B820DE6"/>
    <w:rsid w:val="3B893F22"/>
    <w:rsid w:val="3D4C3459"/>
    <w:rsid w:val="40B05AAD"/>
    <w:rsid w:val="418111A6"/>
    <w:rsid w:val="425A03C6"/>
    <w:rsid w:val="438226C2"/>
    <w:rsid w:val="47596323"/>
    <w:rsid w:val="492C082F"/>
    <w:rsid w:val="4A835FE1"/>
    <w:rsid w:val="4ACA2C61"/>
    <w:rsid w:val="4AF15640"/>
    <w:rsid w:val="4C83051A"/>
    <w:rsid w:val="4D0553D3"/>
    <w:rsid w:val="4E1738D6"/>
    <w:rsid w:val="4F0F2539"/>
    <w:rsid w:val="4F54674E"/>
    <w:rsid w:val="50A029F6"/>
    <w:rsid w:val="50FB2D75"/>
    <w:rsid w:val="52120376"/>
    <w:rsid w:val="53C21167"/>
    <w:rsid w:val="564C19DC"/>
    <w:rsid w:val="56FC7846"/>
    <w:rsid w:val="574216FD"/>
    <w:rsid w:val="59176D25"/>
    <w:rsid w:val="5B044F1C"/>
    <w:rsid w:val="5B2829B8"/>
    <w:rsid w:val="5BA109BC"/>
    <w:rsid w:val="5CF12CB1"/>
    <w:rsid w:val="5DFB5F86"/>
    <w:rsid w:val="5E547F9F"/>
    <w:rsid w:val="602A71D2"/>
    <w:rsid w:val="60CE7B5E"/>
    <w:rsid w:val="611D6D37"/>
    <w:rsid w:val="618446C0"/>
    <w:rsid w:val="637D373F"/>
    <w:rsid w:val="64340620"/>
    <w:rsid w:val="645962D8"/>
    <w:rsid w:val="658D448B"/>
    <w:rsid w:val="66552ACF"/>
    <w:rsid w:val="68AF296B"/>
    <w:rsid w:val="69FC1BE0"/>
    <w:rsid w:val="6B3C600C"/>
    <w:rsid w:val="6B737C7F"/>
    <w:rsid w:val="6BC71D79"/>
    <w:rsid w:val="6D853C9A"/>
    <w:rsid w:val="6D8A7502"/>
    <w:rsid w:val="6DAD0051"/>
    <w:rsid w:val="6F045092"/>
    <w:rsid w:val="6F6D49E6"/>
    <w:rsid w:val="7060279C"/>
    <w:rsid w:val="70934920"/>
    <w:rsid w:val="726522EC"/>
    <w:rsid w:val="72EE0533"/>
    <w:rsid w:val="7537556F"/>
    <w:rsid w:val="75466405"/>
    <w:rsid w:val="75483F2B"/>
    <w:rsid w:val="764672F0"/>
    <w:rsid w:val="771A18F7"/>
    <w:rsid w:val="7735228D"/>
    <w:rsid w:val="78305249"/>
    <w:rsid w:val="78EC1071"/>
    <w:rsid w:val="79D12015"/>
    <w:rsid w:val="7AA91BC6"/>
    <w:rsid w:val="7B4E3015"/>
    <w:rsid w:val="7C4D6C2A"/>
    <w:rsid w:val="7D5316BF"/>
    <w:rsid w:val="7DDF57DA"/>
    <w:rsid w:val="7E7711BB"/>
    <w:rsid w:val="7ECD54A1"/>
    <w:rsid w:val="7F1279BB"/>
    <w:rsid w:val="7F9D7AC4"/>
    <w:rsid w:val="7FE963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List Paragraph"/>
    <w:basedOn w:val="1"/>
    <w:unhideWhenUsed/>
    <w:qFormat/>
    <w:uiPriority w:val="99"/>
    <w:pPr>
      <w:ind w:firstLine="420" w:firstLineChars="200"/>
    </w:pPr>
  </w:style>
  <w:style w:type="table" w:customStyle="1" w:styleId="7">
    <w:name w:val="Table Normal"/>
    <w:unhideWhenUsed/>
    <w:qFormat/>
    <w:uiPriority w:val="0"/>
    <w:tblPr>
      <w:tblStyle w:val="4"/>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855</Words>
  <Characters>895</Characters>
  <Lines>0</Lines>
  <Paragraphs>0</Paragraphs>
  <TotalTime>23</TotalTime>
  <ScaleCrop>false</ScaleCrop>
  <LinksUpToDate>false</LinksUpToDate>
  <CharactersWithSpaces>909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2024-12-04T01:18:56Z</dcterms:created>
  <dc:creator>Administrator</dc:creator>
  <cp:lastModifiedBy>c晴妹</cp:lastModifiedBy>
  <dcterms:modified xsi:type="dcterms:W3CDTF">2025-08-04T03:24:15Z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4976C527A6C5439A9196579BB7601120_13</vt:lpwstr>
  </property>
  <property fmtid="{D5CDD505-2E9C-101B-9397-08002B2CF9AE}" pid="4" name="KSOTemplateDocerSaveRecord">
    <vt:lpwstr>eyJoZGlkIjoiZTMzNGI3NzA3YjUzY2Y2ODg5OTFlMTExNGNmYWExZTgiLCJ1c2VySWQiOiI0NDk5NzI5NjgifQ==</vt:lpwstr>
  </property>
</Properties>
</file>