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A954A">
      <w:pPr>
        <w:pStyle w:val="4"/>
        <w:ind w:left="0" w:leftChars="0" w:firstLine="0"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附件1</w:t>
      </w:r>
    </w:p>
    <w:p w14:paraId="4FC1F963">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2"/>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3A33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826E9D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0DE34B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7A87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2FA138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3EB015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46AA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F01C74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1C720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5DFC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9D70C9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0AF639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5328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E7CA39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182205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0B4C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970851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4B3B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8DD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2DEA10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71FD6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D0E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4A6DEE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62C41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19CA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74240E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5DC76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7A71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27DCBB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FDC064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13FB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CDFF6F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D99FD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4F3D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87A7D1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082B8A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5B4A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655D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7C93BA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0A92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57F394">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使用期限（年）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12DCA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1EE2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6100C3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79DA35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3101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8D62D2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67A915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0E02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8F0BEF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39975E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589A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C6AC06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1D1B51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6EDAA8D4">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51B1490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5831EA8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A8D6032">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6252DCBF">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5F2E9A8">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1BB0A2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29CDDB20">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4A340D43">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739A04F1">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314FD5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35A32A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15B4D66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2C95E41A">
      <w:pPr>
        <w:pStyle w:val="4"/>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5B791814">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16F59F2">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01991612">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78D500C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方正小标宋简体" w:hAnsi="新宋体" w:eastAsia="方正小标宋简体"/>
          <w:color w:val="000000"/>
          <w:sz w:val="32"/>
          <w:szCs w:val="32"/>
          <w:lang w:val="en-US" w:eastAsia="zh-CN"/>
        </w:rPr>
        <w:t>全自动酶免分析仪</w:t>
      </w:r>
    </w:p>
    <w:p w14:paraId="045E45F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1、设备台面；平台上所有载架均采用抽拉式轨道装载，试验结束后可将整个载架放置于冷藏环境无需每个试剂单独取放。另具备支持根据不同需求更改所有载架位置或者数量的功能，无需重新定制，满足多种环境下的不同测试需求。</w:t>
      </w:r>
    </w:p>
    <w:p w14:paraId="33266543">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2、基本功能；全自动完成ELISA实验，包括加样、稀释、振荡、孵育、洗板、读数及结果判断全过程实验，开放式试剂系统，具备可连续进样、连续进板、随到随做的工作模式。</w:t>
      </w:r>
    </w:p>
    <w:p w14:paraId="4E4CC113">
      <w:pPr>
        <w:numPr>
          <w:ilvl w:val="0"/>
          <w:numId w:val="2"/>
        </w:numPr>
        <w:spacing w:line="360" w:lineRule="auto"/>
        <w:ind w:leftChars="0"/>
        <w:rPr>
          <w:rFonts w:hint="eastAsia" w:ascii="黑体" w:hAnsi="黑体" w:eastAsia="黑体" w:cs="黑体"/>
          <w:sz w:val="32"/>
          <w:szCs w:val="32"/>
          <w:lang w:val="en-US" w:eastAsia="zh-CN"/>
        </w:rPr>
      </w:pPr>
      <w:r>
        <w:rPr>
          <w:rFonts w:hint="eastAsia" w:ascii="方正小标宋简体" w:hAnsi="新宋体" w:eastAsia="方正小标宋简体"/>
          <w:color w:val="000000"/>
          <w:sz w:val="32"/>
          <w:szCs w:val="32"/>
          <w:lang w:val="en-US" w:eastAsia="zh-CN"/>
        </w:rPr>
        <w:t>胸腔按压机</w:t>
      </w:r>
    </w:p>
    <w:p w14:paraId="74D3FB9C">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1、便携式电动胸腔按压机，适合院内院外心肺复苏急救。</w:t>
      </w:r>
    </w:p>
    <w:p w14:paraId="2E4C5D35">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2、结构及组成；主机、锂电池、电源适配器、固定绷带、按压头保护套，主机数据导出线和电池充电器。</w:t>
      </w:r>
    </w:p>
    <w:p w14:paraId="4BCD90A6">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3、按压频率：在100至 120 次/分钟范围内，误差：&lt;±2次/分钟。</w:t>
      </w:r>
    </w:p>
    <w:p w14:paraId="3C199512">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4、按压深度：在50-60mm范围内，误差：≤±2mm。</w:t>
      </w:r>
    </w:p>
    <w:p w14:paraId="1F915A29">
      <w:pPr>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5、按压技术；3D按压。</w:t>
      </w:r>
    </w:p>
    <w:p w14:paraId="75B8FA9B">
      <w:pPr>
        <w:pStyle w:val="4"/>
        <w:numPr>
          <w:ilvl w:val="0"/>
          <w:numId w:val="0"/>
        </w:numPr>
        <w:ind w:leftChars="0"/>
        <w:jc w:val="left"/>
        <w:rPr>
          <w:rFonts w:hint="eastAsia" w:ascii="仿宋_GB2312" w:hAnsi="新宋体" w:eastAsia="仿宋_GB2312" w:cs="新宋体"/>
          <w:b/>
          <w:bCs/>
          <w:color w:val="000000"/>
          <w:kern w:val="2"/>
          <w:sz w:val="28"/>
          <w:szCs w:val="28"/>
          <w:lang w:val="en-US" w:eastAsia="zh-CN" w:bidi="ar-SA"/>
        </w:rPr>
      </w:pPr>
    </w:p>
    <w:p w14:paraId="2C85C7A4">
      <w:pPr>
        <w:numPr>
          <w:ilvl w:val="0"/>
          <w:numId w:val="2"/>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olor w:val="000000"/>
          <w:sz w:val="32"/>
          <w:szCs w:val="32"/>
          <w:lang w:val="en-US" w:eastAsia="zh-CN"/>
        </w:rPr>
        <w:t>插件式心电监护仪</w:t>
      </w:r>
    </w:p>
    <w:p w14:paraId="069E89CF">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1.模块化插件式床边监护仪，主机、显示屏和插件槽一体化设计，主机插槽数≥5 个。</w:t>
      </w:r>
    </w:p>
    <w:p w14:paraId="7762A42C">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2.≥15 英寸彩色触摸屏，分辨率≥1920×1080像素，≥8 通道显示，显示屏亮度自动调节。</w:t>
      </w:r>
    </w:p>
    <w:p w14:paraId="4FFDEBA0">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3.配备锂电池</w:t>
      </w:r>
    </w:p>
    <w:p w14:paraId="0A3B923D">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4.基本功能模块支持心电，呼吸，心率，无创血压，血氧饱和度，脉搏，双通道体温和双通道有创血压(带附件包)的同时监测。</w:t>
      </w:r>
    </w:p>
    <w:p w14:paraId="5840E33E">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5.双通道有创压 IBP 监测功能。</w:t>
      </w:r>
    </w:p>
    <w:p w14:paraId="414EA3B6">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6.具备血氧监测功能;适用于成人、小儿和新生儿。</w:t>
      </w:r>
    </w:p>
    <w:p w14:paraId="15B4D760">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7.具备与除颤监护仪遥测混合联通至中心监护系统功能，实现护士站的集中管理。</w:t>
      </w:r>
    </w:p>
    <w:p w14:paraId="779AFC2C">
      <w:pPr>
        <w:pStyle w:val="4"/>
        <w:numPr>
          <w:ilvl w:val="0"/>
          <w:numId w:val="0"/>
        </w:numPr>
        <w:ind w:leftChars="0"/>
        <w:jc w:val="left"/>
        <w:rPr>
          <w:rFonts w:hint="eastAsia" w:ascii="仿宋_GB2312" w:hAnsi="新宋体" w:eastAsia="仿宋_GB2312" w:cs="新宋体"/>
          <w:color w:val="000000"/>
          <w:kern w:val="2"/>
          <w:sz w:val="28"/>
          <w:szCs w:val="28"/>
          <w:lang w:val="en-US" w:eastAsia="zh-CN" w:bidi="ar-SA"/>
        </w:rPr>
      </w:pPr>
    </w:p>
    <w:p w14:paraId="3EFDC444">
      <w:pPr>
        <w:pStyle w:val="4"/>
        <w:numPr>
          <w:ilvl w:val="0"/>
          <w:numId w:val="0"/>
        </w:numPr>
        <w:ind w:leftChars="0"/>
        <w:jc w:val="left"/>
        <w:rPr>
          <w:rFonts w:hint="default" w:ascii="方正小标宋简体" w:hAnsi="新宋体" w:eastAsia="方正小标宋简体" w:cstheme="minorBidi"/>
          <w:color w:val="000000"/>
          <w:kern w:val="2"/>
          <w:sz w:val="32"/>
          <w:szCs w:val="32"/>
          <w:lang w:val="en-US" w:eastAsia="zh-CN" w:bidi="ar-SA"/>
        </w:rPr>
      </w:pPr>
      <w:r>
        <w:rPr>
          <w:rFonts w:hint="eastAsia" w:ascii="方正小标宋简体" w:hAnsi="新宋体" w:eastAsia="方正小标宋简体" w:cstheme="minorBidi"/>
          <w:color w:val="000000"/>
          <w:kern w:val="2"/>
          <w:sz w:val="32"/>
          <w:szCs w:val="32"/>
          <w:lang w:val="en-US" w:eastAsia="zh-CN" w:bidi="ar-SA"/>
        </w:rPr>
        <w:t>四、</w:t>
      </w:r>
      <w:r>
        <w:rPr>
          <w:rFonts w:hint="eastAsia" w:ascii="方正小标宋简体" w:hAnsi="新宋体" w:eastAsia="方正小标宋简体"/>
          <w:color w:val="000000"/>
          <w:sz w:val="32"/>
          <w:szCs w:val="32"/>
          <w:lang w:val="en-US" w:eastAsia="zh-CN"/>
        </w:rPr>
        <w:t>二氧化碳激光治疗机</w:t>
      </w:r>
    </w:p>
    <w:p w14:paraId="377C48A8">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二氧化碳激光治疗仪适用范围 用于人体组织的浅度切割、止血、凝固和照射，以达到辅助治疗的目的。</w:t>
      </w:r>
    </w:p>
    <w:p w14:paraId="0E60443E">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1.激光波长：10.6±0.lμm;</w:t>
      </w:r>
    </w:p>
    <w:p w14:paraId="493FEA07">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2.输出功率：0.5-30W，大小连续可调;</w:t>
      </w:r>
    </w:p>
    <w:p w14:paraId="7909FCC7">
      <w:pPr>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3.扫描图形：≥8种</w:t>
      </w:r>
    </w:p>
    <w:p w14:paraId="32406D3A">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4.设备使用期限：≥10 年</w:t>
      </w:r>
    </w:p>
    <w:p w14:paraId="09561C12">
      <w:pPr>
        <w:pStyle w:val="4"/>
        <w:numPr>
          <w:ilvl w:val="0"/>
          <w:numId w:val="0"/>
        </w:numPr>
        <w:rPr>
          <w:rFonts w:hint="eastAsia" w:ascii="仿宋_GB2312" w:hAnsi="新宋体" w:eastAsia="仿宋_GB2312" w:cs="新宋体"/>
          <w:color w:val="000000"/>
          <w:kern w:val="2"/>
          <w:sz w:val="28"/>
          <w:szCs w:val="28"/>
          <w:lang w:val="en-US" w:eastAsia="zh-CN" w:bidi="ar-SA"/>
        </w:rPr>
      </w:pPr>
    </w:p>
    <w:p w14:paraId="51B8BEB3">
      <w:pPr>
        <w:pStyle w:val="4"/>
        <w:ind w:left="0" w:leftChars="0" w:firstLine="0" w:firstLineChars="0"/>
        <w:rPr>
          <w:rFonts w:hint="eastAsia" w:asciiTheme="minorEastAsia" w:hAnsiTheme="minorEastAsia"/>
        </w:rPr>
      </w:pPr>
      <w:r>
        <w:rPr>
          <w:rFonts w:hint="eastAsia" w:ascii="方正小标宋简体" w:hAnsi="新宋体" w:eastAsia="方正小标宋简体"/>
          <w:color w:val="000000"/>
          <w:sz w:val="32"/>
          <w:szCs w:val="32"/>
          <w:lang w:val="en-US" w:eastAsia="zh-CN"/>
        </w:rPr>
        <w:t>五、一氧化氮治疗仪</w:t>
      </w:r>
    </w:p>
    <w:p w14:paraId="74555626">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用途：适用于儿童、新生儿的一氧化氮吸入治疗，用于辅助治疗肺动脉高压症等。</w:t>
      </w:r>
    </w:p>
    <w:p w14:paraId="0A398F10">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主要功能及参数：</w:t>
      </w:r>
    </w:p>
    <w:p w14:paraId="66212481">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1一氧化氮气体生成方式；采用脉冲电弧放电法或电化学催化法</w:t>
      </w:r>
    </w:p>
    <w:p w14:paraId="28E7BC8D">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2一氧化氮气体浓度输出范围：1ppm-80ppm的区间范围</w:t>
      </w:r>
    </w:p>
    <w:p w14:paraId="55A44D20">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3具备自动脱机模式，可从当前治疗浓度逐渐下降到1PPM后停止治疗</w:t>
      </w:r>
    </w:p>
    <w:p w14:paraId="04EC942B">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4≥10英寸彩色触控屏，中文菜单</w:t>
      </w:r>
    </w:p>
    <w:p w14:paraId="4A7C53B2">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5具备输送和采样一体式NO管路</w:t>
      </w:r>
    </w:p>
    <w:p w14:paraId="1C55720D">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6设备内置电池</w:t>
      </w:r>
    </w:p>
    <w:p w14:paraId="71597CEC">
      <w:pPr>
        <w:widowControl w:val="0"/>
        <w:numPr>
          <w:ilvl w:val="0"/>
          <w:numId w:val="0"/>
        </w:numPr>
        <w:jc w:val="both"/>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7设备使用年限≥8年</w:t>
      </w:r>
    </w:p>
    <w:p w14:paraId="18853B21">
      <w:pPr>
        <w:numPr>
          <w:ilvl w:val="0"/>
          <w:numId w:val="0"/>
        </w:numPr>
        <w:spacing w:line="360" w:lineRule="auto"/>
        <w:rPr>
          <w:rFonts w:hint="eastAsia" w:asciiTheme="minorEastAsia" w:hAnsiTheme="minorEastAsia"/>
          <w:lang w:val="en-US" w:eastAsia="zh-CN"/>
        </w:rPr>
      </w:pPr>
    </w:p>
    <w:p w14:paraId="1B92C01E">
      <w:bookmarkStart w:id="0" w:name="_GoBack"/>
      <w:bookmarkEnd w:id="0"/>
    </w:p>
    <w:sectPr>
      <w:pgSz w:w="11906" w:h="16838"/>
      <w:pgMar w:top="1366" w:right="1506" w:bottom="1480" w:left="141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0C0F"/>
    <w:multiLevelType w:val="singleLevel"/>
    <w:tmpl w:val="8AC90C0F"/>
    <w:lvl w:ilvl="0" w:tentative="0">
      <w:start w:val="2"/>
      <w:numFmt w:val="chineseCounting"/>
      <w:suff w:val="nothing"/>
      <w:lvlText w:val="%1、"/>
      <w:lvlJc w:val="left"/>
      <w:rPr>
        <w:rFonts w:hint="eastAsia"/>
        <w:b w:val="0"/>
        <w:bCs w:val="0"/>
      </w:rPr>
    </w:lvl>
  </w:abstractNum>
  <w:abstractNum w:abstractNumId="1">
    <w:nsid w:val="3961CBBC"/>
    <w:multiLevelType w:val="singleLevel"/>
    <w:tmpl w:val="3961CB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67B6D"/>
    <w:rsid w:val="41B67B6D"/>
    <w:rsid w:val="42E6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2025-06-18T08:53:00Z</dcterms:created>
  <dc:creator>c晴妹</dc:creator>
  <cp:lastModifiedBy>c晴妹</cp:lastModifiedBy>
  <dcterms:modified xsi:type="dcterms:W3CDTF">2025-06-18T08:55:10Z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76F574943C58412CBDCB704169614FFD_13</vt:lpwstr>
  </property>
  <property fmtid="{D5CDD505-2E9C-101B-9397-08002B2CF9AE}" pid="4" name="KSOTemplateDocerSaveRecord">
    <vt:lpwstr>eyJoZGlkIjoiZTMzNGI3NzA3YjUzY2Y2ODg5OTFlMTExNGNmYWExZTgiLCJ1c2VySWQiOiI0NDk5NzI5NjgifQ==</vt:lpwstr>
  </property>
</Properties>
</file>